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b/>
          <w:bCs/>
          <w:color w:val="auto"/>
          <w:sz w:val="21"/>
          <w:szCs w:val="21"/>
          <w:lang w:val="fr-CH"/>
        </w:rPr>
        <w:alias w:val="Adresse du cabinet médical"/>
        <w:tag w:val="Adresse du cabinet médical"/>
        <w:id w:val="-283199737"/>
        <w:placeholder>
          <w:docPart w:val="F46968B92D1F439B8DCC610FF82EBAEF"/>
        </w:placeholder>
        <w:showingPlcHdr/>
      </w:sdtPr>
      <w:sdtEndPr/>
      <w:sdtContent>
        <w:p w14:paraId="23C4D8D7" w14:textId="34E304D3" w:rsidR="005C3242" w:rsidRPr="00B65E48" w:rsidRDefault="00B65E48" w:rsidP="00313EA2">
          <w:pPr>
            <w:pStyle w:val="Titel20Pt"/>
            <w:rPr>
              <w:rFonts w:asciiTheme="minorHAnsi" w:hAnsiTheme="minorHAnsi" w:cstheme="minorHAnsi"/>
              <w:b/>
              <w:bCs/>
              <w:color w:val="auto"/>
              <w:sz w:val="21"/>
              <w:szCs w:val="21"/>
              <w:lang w:val="fr-CH"/>
            </w:rPr>
          </w:pPr>
          <w:r w:rsidRPr="00EC2C99">
            <w:rPr>
              <w:rStyle w:val="Platzhaltertext"/>
              <w:b/>
              <w:bCs/>
              <w:color w:val="FFFFFF" w:themeColor="background1"/>
              <w:sz w:val="21"/>
              <w:szCs w:val="21"/>
              <w:shd w:val="clear" w:color="auto" w:fill="3C5587"/>
              <w:lang w:val="it-IT"/>
            </w:rPr>
            <w:t>Cliquez ou tapez ici pour insérer du texte</w:t>
          </w:r>
          <w:r w:rsidR="005C3242" w:rsidRPr="00EC2C99">
            <w:rPr>
              <w:rStyle w:val="Platzhaltertext"/>
              <w:b/>
              <w:bCs/>
              <w:color w:val="FFFFFF" w:themeColor="background1"/>
              <w:sz w:val="21"/>
              <w:szCs w:val="21"/>
              <w:shd w:val="clear" w:color="auto" w:fill="3C5587"/>
              <w:lang w:val="it-IT"/>
            </w:rPr>
            <w:t>.</w:t>
          </w:r>
        </w:p>
      </w:sdtContent>
    </w:sdt>
    <w:p w14:paraId="36480F22" w14:textId="77777777" w:rsidR="005C3242" w:rsidRPr="00EC2C99" w:rsidRDefault="005C3242" w:rsidP="00313EA2">
      <w:pPr>
        <w:pStyle w:val="Titel20Pt"/>
        <w:rPr>
          <w:rFonts w:asciiTheme="minorHAnsi" w:hAnsiTheme="minorHAnsi" w:cstheme="minorHAnsi"/>
          <w:color w:val="3C5587"/>
          <w:sz w:val="21"/>
          <w:szCs w:val="21"/>
          <w:lang w:val="fr-CH"/>
        </w:rPr>
      </w:pPr>
    </w:p>
    <w:p w14:paraId="3B52A3A4" w14:textId="77777777" w:rsidR="005C3242" w:rsidRPr="00EC2C99" w:rsidRDefault="005C3242" w:rsidP="00313EA2">
      <w:pPr>
        <w:pStyle w:val="Titel20Pt"/>
        <w:rPr>
          <w:rFonts w:asciiTheme="minorHAnsi" w:hAnsiTheme="minorHAnsi" w:cstheme="minorHAnsi"/>
          <w:color w:val="3C5587"/>
          <w:sz w:val="21"/>
          <w:szCs w:val="21"/>
          <w:lang w:val="fr-CH"/>
        </w:rPr>
      </w:pPr>
    </w:p>
    <w:p w14:paraId="0351AD28" w14:textId="51BF84B3" w:rsidR="00313EA2" w:rsidRPr="00EC2C99" w:rsidRDefault="002067C8" w:rsidP="00313EA2">
      <w:pPr>
        <w:pStyle w:val="Titel20Pt"/>
        <w:rPr>
          <w:rFonts w:ascii="Calibri" w:hAnsi="Calibri" w:cs="Calibri"/>
          <w:b/>
          <w:color w:val="3C5587"/>
          <w:sz w:val="30"/>
          <w:szCs w:val="30"/>
          <w:lang w:val="fr-CH"/>
        </w:rPr>
      </w:pPr>
      <w:r w:rsidRPr="00EC2C99">
        <w:rPr>
          <w:color w:val="3C5587"/>
          <w:lang w:val="fr-CH"/>
        </w:rPr>
        <w:t>Conditions-cadres générales et explications</w:t>
      </w:r>
      <w:r w:rsidR="006C0EDF" w:rsidRPr="00EC2C99">
        <w:rPr>
          <w:color w:val="3C5587"/>
          <w:lang w:val="fr-CH"/>
        </w:rPr>
        <w:t xml:space="preserve"> sur le contrat de travail pour le personnel du cabinet médical</w:t>
      </w:r>
    </w:p>
    <w:p w14:paraId="5103E0EA" w14:textId="77777777" w:rsidR="006C0EDF" w:rsidRPr="006C0EDF" w:rsidRDefault="006C0EDF" w:rsidP="009C46CA">
      <w:pPr>
        <w:pStyle w:val="berschrift1nummeriert"/>
        <w:rPr>
          <w:lang w:val="fr-CH"/>
        </w:rPr>
      </w:pPr>
      <w:r w:rsidRPr="006C0EDF">
        <w:rPr>
          <w:lang w:val="fr-CH"/>
        </w:rPr>
        <w:t>Durée du contrat de travail et période d’essai</w:t>
      </w:r>
    </w:p>
    <w:p w14:paraId="1CD85723" w14:textId="77777777"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Un contrat de travail à durée déterminée convient pour les emplois dont la fin est connue à l’avance, par exemple pour le remplacement d’une employée en congé de maternité.</w:t>
      </w:r>
    </w:p>
    <w:p w14:paraId="64EC5C52" w14:textId="3E74C176"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Selon l’</w:t>
      </w:r>
      <w:hyperlink r:id="rId11" w:anchor="art_335_b" w:history="1">
        <w:r w:rsidRPr="00EC2C99">
          <w:rPr>
            <w:rStyle w:val="Hyperlink"/>
            <w:rFonts w:ascii="Calibri" w:hAnsi="Calibri" w:cs="Calibri"/>
            <w:color w:val="3C5587"/>
            <w:szCs w:val="21"/>
            <w:lang w:val="fr-CH"/>
          </w:rPr>
          <w:t>art. 335 b CO</w:t>
        </w:r>
      </w:hyperlink>
      <w:r w:rsidRPr="006C0EDF">
        <w:rPr>
          <w:rFonts w:ascii="Calibri" w:hAnsi="Calibri" w:cs="Calibri"/>
          <w:szCs w:val="21"/>
          <w:lang w:val="fr-CH"/>
        </w:rPr>
        <w:t>, le temps d’essai ne doit pas dépasser trois mois. Lorsque, pendant le temps d’essai, le travail est interrompu pour cause de maladie, d’accident ou d’accomplissement d’une obligation légale imposée aux collaborateurs, le temps d’essai est prolongé d’autant.</w:t>
      </w:r>
    </w:p>
    <w:p w14:paraId="5A9E9B17" w14:textId="77777777" w:rsidR="006C0EDF" w:rsidRPr="00454AE0" w:rsidRDefault="006C0EDF" w:rsidP="00454AE0">
      <w:pPr>
        <w:pStyle w:val="berschrift1nummeriert"/>
        <w:rPr>
          <w:lang w:val="fr-CH"/>
        </w:rPr>
      </w:pPr>
      <w:r w:rsidRPr="00454AE0">
        <w:rPr>
          <w:lang w:val="fr-CH"/>
        </w:rPr>
        <w:t>Durée de travail et heures supplémentaires</w:t>
      </w:r>
    </w:p>
    <w:p w14:paraId="11B0B160" w14:textId="77777777" w:rsidR="006C0EDF" w:rsidRPr="00057C2B" w:rsidRDefault="006C0EDF" w:rsidP="00AB7F89">
      <w:pPr>
        <w:ind w:right="680"/>
        <w:rPr>
          <w:rFonts w:ascii="Calibri" w:hAnsi="Calibri" w:cs="Calibri"/>
          <w:b/>
          <w:bCs/>
          <w:szCs w:val="21"/>
          <w:lang w:val="fr-CH"/>
        </w:rPr>
      </w:pPr>
      <w:r w:rsidRPr="00057C2B">
        <w:rPr>
          <w:rFonts w:ascii="Calibri" w:hAnsi="Calibri" w:cs="Calibri"/>
          <w:b/>
          <w:bCs/>
          <w:szCs w:val="21"/>
          <w:lang w:val="fr-CH"/>
        </w:rPr>
        <w:t>Saisie du temps de travail</w:t>
      </w:r>
    </w:p>
    <w:p w14:paraId="4291788E" w14:textId="202E9BD1"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Conformément à l’</w:t>
      </w:r>
      <w:hyperlink r:id="rId12" w:anchor="art_46" w:history="1">
        <w:r w:rsidRPr="00EC2C99">
          <w:rPr>
            <w:rStyle w:val="Hyperlink"/>
            <w:rFonts w:ascii="Calibri" w:hAnsi="Calibri" w:cs="Calibri"/>
            <w:color w:val="3C5587"/>
            <w:szCs w:val="21"/>
            <w:lang w:val="fr-CH"/>
          </w:rPr>
          <w:t>art. 46 de la loi sur le travail (LTr)</w:t>
        </w:r>
      </w:hyperlink>
      <w:r w:rsidRPr="006C0EDF">
        <w:rPr>
          <w:rFonts w:ascii="Calibri" w:hAnsi="Calibri" w:cs="Calibri"/>
          <w:szCs w:val="21"/>
          <w:lang w:val="fr-CH"/>
        </w:rPr>
        <w:t xml:space="preserve"> et à l’</w:t>
      </w:r>
      <w:hyperlink r:id="rId13" w:anchor="art_73" w:history="1">
        <w:r w:rsidRPr="00EC2C99">
          <w:rPr>
            <w:rStyle w:val="Hyperlink"/>
            <w:rFonts w:ascii="Calibri" w:hAnsi="Calibri" w:cs="Calibri"/>
            <w:color w:val="3C5587"/>
            <w:szCs w:val="21"/>
            <w:lang w:val="fr-CH"/>
          </w:rPr>
          <w:t>art. 73 OLT 1</w:t>
        </w:r>
      </w:hyperlink>
      <w:r w:rsidRPr="006C0EDF">
        <w:rPr>
          <w:rFonts w:ascii="Calibri" w:hAnsi="Calibri" w:cs="Calibri"/>
          <w:szCs w:val="21"/>
          <w:lang w:val="fr-CH"/>
        </w:rPr>
        <w:t xml:space="preserve"> (ordonnance 1 relative à la loi sur le travail), chaque employeur a l’obligation légale de documenter les horaires de ses employés. Chaque employée doit avoir un aperçu clair de ses horaires, de la durée de son travail ainsi que de ses pauses. Ce n’est que sur la base de ces indications que l’on peut vérifier si les dispositions de la loi sur le travail en matière de durée du travail et du repos sont respectées. L’employeur est tenu de conserver les registres et autres pièces pendant un minimum de cinq ans (art. 73, al. 2 OLT 1).</w:t>
      </w:r>
    </w:p>
    <w:p w14:paraId="61CAC0C4" w14:textId="371C737F"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La saisie du temps de travail n’est pas toujours synonyme de pointage. Il existe également d’autres moyens éprouvés pour enregistrer les heures de travail (p. ex. tableau Excel). Toutefois, si le temps de travail est saisi par l’employée elle-même au moyen d’un tableau Excel, nous recommandons à l’employeur de procéder à un contrôle mensuel des heures saisies.</w:t>
      </w:r>
    </w:p>
    <w:p w14:paraId="3A520F99" w14:textId="77777777"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 xml:space="preserve">Un outil Excel pour la saisie du temps de travail est disponible en ligne auprès de la </w:t>
      </w:r>
      <w:hyperlink r:id="rId14" w:history="1">
        <w:r w:rsidRPr="00EC2C99">
          <w:rPr>
            <w:rStyle w:val="Hyperlink"/>
            <w:rFonts w:ascii="Calibri" w:hAnsi="Calibri" w:cs="Calibri"/>
            <w:color w:val="3C5587"/>
            <w:szCs w:val="21"/>
            <w:lang w:val="fr-CH"/>
          </w:rPr>
          <w:t>SVA</w:t>
        </w:r>
      </w:hyperlink>
      <w:r w:rsidRPr="006C0EDF">
        <w:rPr>
          <w:rFonts w:ascii="Calibri" w:hAnsi="Calibri" w:cs="Calibri"/>
          <w:szCs w:val="21"/>
          <w:lang w:val="fr-CH"/>
        </w:rPr>
        <w:t xml:space="preserve"> (Association suisse alémanique des assistantes médicales) et de l’</w:t>
      </w:r>
      <w:hyperlink r:id="rId15" w:history="1">
        <w:r w:rsidRPr="00EC2C99">
          <w:rPr>
            <w:rStyle w:val="Hyperlink"/>
            <w:rFonts w:ascii="Calibri" w:hAnsi="Calibri" w:cs="Calibri"/>
            <w:color w:val="3C5587"/>
            <w:szCs w:val="21"/>
            <w:lang w:val="fr-CH"/>
          </w:rPr>
          <w:t>ARAM</w:t>
        </w:r>
      </w:hyperlink>
      <w:r w:rsidRPr="006C0EDF">
        <w:rPr>
          <w:rFonts w:ascii="Calibri" w:hAnsi="Calibri" w:cs="Calibri"/>
          <w:szCs w:val="21"/>
          <w:lang w:val="fr-CH"/>
        </w:rPr>
        <w:t xml:space="preserve"> (Association romande des assistantes médicales). </w:t>
      </w:r>
    </w:p>
    <w:p w14:paraId="792D25BD" w14:textId="5987AF6B"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Pour la saisie du temps de travail, nous recommandons que le temps de travail commence à l’arrivée de l’employée et lors de la préparation effective de ses tâches (p. ex. démarrer l’ordinateur, aérer la salle d’attente ou préparer les revues, aller chercher le courrier, etc.), et non pas seulement lorsqu’elle est totalement disponible pour accueillir le premier patient/la première patiente. Les tâches effectuées le soir dans le cadre de l’activité du cabinet (p. ex. rangement, nettoyage des instruments de travail, etc.) comptent également comme temps de travail. Le trajet domicile-travail n’est pas considéré comme du temps de travail, à l’exception du service de piquet. L’employeur est libre d’édicter des directives pour garantir une prise de fonction rapide.</w:t>
      </w:r>
    </w:p>
    <w:p w14:paraId="540DB699" w14:textId="3530AC72" w:rsidR="00DD1D58"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Il existe différents modèles de temps de travail. Outre la durée hebdomadaire de travail recommandée dans le contrat-type, une annualisation du temps de travail est également envisageable. L’annualisation du temps de travail permet d’élargir la marge de manœuvre en matière d’aménagement du temps de travail. La limite maximale de 50 heures par semaine doit être prise en compte, mais cela ne devrait pas être la règle. Des écarts plus importants par rapport à l’horaire hebdomadaire habituel nécessitent en outre l’accord des deux parties. Idéalement, les comptes de temps des employé(e)s devraient être équilibrés à la fin de l’année. Toutefois, les soldes d’heures supplémentaires existant à la fin de l’année devraient être compensés par un congé au plus tard jusqu’au milieu de l’année suivante. Il en va de même pour les avoirs de vacances.</w:t>
      </w:r>
    </w:p>
    <w:p w14:paraId="275467A9" w14:textId="77777777" w:rsidR="00DD1D58" w:rsidRDefault="00DD1D58">
      <w:pPr>
        <w:spacing w:line="240" w:lineRule="atLeast"/>
        <w:rPr>
          <w:rFonts w:ascii="Calibri" w:hAnsi="Calibri" w:cs="Calibri"/>
          <w:szCs w:val="21"/>
          <w:lang w:val="fr-CH"/>
        </w:rPr>
      </w:pPr>
      <w:r>
        <w:rPr>
          <w:rFonts w:ascii="Calibri" w:hAnsi="Calibri" w:cs="Calibri"/>
          <w:szCs w:val="21"/>
          <w:lang w:val="fr-CH"/>
        </w:rPr>
        <w:br w:type="page"/>
      </w:r>
    </w:p>
    <w:p w14:paraId="2D22FE00" w14:textId="4561855F" w:rsidR="006C0EDF" w:rsidRPr="00D373F3" w:rsidRDefault="006C0EDF" w:rsidP="00AB7F89">
      <w:pPr>
        <w:tabs>
          <w:tab w:val="left" w:pos="600"/>
          <w:tab w:val="left" w:pos="4560"/>
        </w:tabs>
        <w:ind w:right="680"/>
        <w:rPr>
          <w:rFonts w:ascii="Calibri" w:hAnsi="Calibri" w:cs="Calibri"/>
          <w:b/>
          <w:bCs/>
          <w:szCs w:val="21"/>
          <w:lang w:val="fr-CH"/>
        </w:rPr>
      </w:pPr>
      <w:r w:rsidRPr="00D373F3">
        <w:rPr>
          <w:rFonts w:ascii="Calibri" w:hAnsi="Calibri" w:cs="Calibri"/>
          <w:b/>
          <w:bCs/>
          <w:szCs w:val="21"/>
          <w:lang w:val="fr-CH"/>
        </w:rPr>
        <w:lastRenderedPageBreak/>
        <w:t>Heures supplémentaires – travail supplémentaire</w:t>
      </w:r>
    </w:p>
    <w:p w14:paraId="3277077D" w14:textId="77777777"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Les heures supplémentaires sont celles qui sont effectuées en plus du temps de travail convenu. Elles peuvent être effectuées à la demande de l’employeur dans la mesure où elles sont nécessaires à l’entreprise et peuvent être raisonnablement exigées de l’assistante médicale (</w:t>
      </w:r>
      <w:hyperlink r:id="rId16" w:anchor="art_321_c" w:history="1">
        <w:r w:rsidRPr="00EC2C99">
          <w:rPr>
            <w:rStyle w:val="Hyperlink"/>
            <w:rFonts w:ascii="Calibri" w:hAnsi="Calibri" w:cs="Calibri"/>
            <w:color w:val="3C5587"/>
            <w:szCs w:val="21"/>
            <w:lang w:val="fr-CH"/>
          </w:rPr>
          <w:t>art. 321c OR</w:t>
        </w:r>
      </w:hyperlink>
      <w:r w:rsidRPr="006C0EDF">
        <w:rPr>
          <w:rFonts w:ascii="Calibri" w:hAnsi="Calibri" w:cs="Calibri"/>
          <w:szCs w:val="21"/>
          <w:lang w:val="fr-CH"/>
        </w:rPr>
        <w:t>).</w:t>
      </w:r>
    </w:p>
    <w:p w14:paraId="1B6716D0" w14:textId="77777777"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 travail supplémentaire désigne le temps de travail effectué au-delà de la durée maximale légale de 50 heures par semaine. Il ne peut être dépassé qu’en cas d’urgence. (</w:t>
      </w:r>
      <w:hyperlink r:id="rId17" w:anchor="art_9" w:history="1">
        <w:r w:rsidRPr="00EC2C99">
          <w:rPr>
            <w:rStyle w:val="Hyperlink"/>
            <w:rFonts w:ascii="Calibri" w:hAnsi="Calibri" w:cs="Calibri"/>
            <w:color w:val="3C5587"/>
            <w:szCs w:val="21"/>
            <w:lang w:val="fr-CH"/>
          </w:rPr>
          <w:t>Art. 9 LTr</w:t>
        </w:r>
      </w:hyperlink>
      <w:r w:rsidRPr="006C0EDF">
        <w:rPr>
          <w:rFonts w:ascii="Calibri" w:hAnsi="Calibri" w:cs="Calibri"/>
          <w:szCs w:val="21"/>
          <w:lang w:val="fr-CH"/>
        </w:rPr>
        <w:t xml:space="preserve"> en relation avec l’</w:t>
      </w:r>
      <w:hyperlink r:id="rId18" w:anchor="art_12" w:history="1">
        <w:r w:rsidRPr="00EC2C99">
          <w:rPr>
            <w:rStyle w:val="Hyperlink"/>
            <w:rFonts w:ascii="Calibri" w:hAnsi="Calibri" w:cs="Calibri"/>
            <w:color w:val="3C5587"/>
            <w:szCs w:val="21"/>
            <w:lang w:val="fr-CH"/>
          </w:rPr>
          <w:t>art. 12 LTr</w:t>
        </w:r>
      </w:hyperlink>
      <w:r w:rsidRPr="006C0EDF">
        <w:rPr>
          <w:rFonts w:ascii="Calibri" w:hAnsi="Calibri" w:cs="Calibri"/>
          <w:szCs w:val="21"/>
          <w:lang w:val="fr-CH"/>
        </w:rPr>
        <w:t>). Ce travail supplémentaire est indemnisé par un supplément de salaire de 25% ou, avec l’accord de l’employée, compensé par un congé de même durée (</w:t>
      </w:r>
      <w:hyperlink r:id="rId19" w:anchor="art_13" w:history="1">
        <w:r w:rsidRPr="00EC2C99">
          <w:rPr>
            <w:rStyle w:val="Hyperlink"/>
            <w:rFonts w:ascii="Calibri" w:hAnsi="Calibri" w:cs="Calibri"/>
            <w:color w:val="3C5587"/>
            <w:szCs w:val="21"/>
            <w:lang w:val="fr-CH"/>
          </w:rPr>
          <w:t>art. 13 LTr</w:t>
        </w:r>
      </w:hyperlink>
      <w:r w:rsidRPr="006C0EDF">
        <w:rPr>
          <w:rFonts w:ascii="Calibri" w:hAnsi="Calibri" w:cs="Calibri"/>
          <w:szCs w:val="21"/>
          <w:lang w:val="fr-CH"/>
        </w:rPr>
        <w:t>).</w:t>
      </w:r>
    </w:p>
    <w:p w14:paraId="5CE2D937" w14:textId="77777777" w:rsidR="006C0EDF" w:rsidRPr="004372F1" w:rsidRDefault="006C0EDF" w:rsidP="00AB7F89">
      <w:pPr>
        <w:tabs>
          <w:tab w:val="left" w:pos="600"/>
          <w:tab w:val="left" w:pos="4560"/>
        </w:tabs>
        <w:ind w:right="680"/>
        <w:rPr>
          <w:rFonts w:ascii="Calibri" w:hAnsi="Calibri" w:cs="Calibri"/>
          <w:b/>
          <w:bCs/>
          <w:szCs w:val="21"/>
          <w:lang w:val="fr-CH"/>
        </w:rPr>
      </w:pPr>
      <w:r w:rsidRPr="004372F1">
        <w:rPr>
          <w:rFonts w:ascii="Calibri" w:hAnsi="Calibri" w:cs="Calibri"/>
          <w:b/>
          <w:bCs/>
          <w:szCs w:val="21"/>
          <w:lang w:val="fr-CH"/>
        </w:rPr>
        <w:t>Travail de nuit</w:t>
      </w:r>
    </w:p>
    <w:p w14:paraId="05B400E7" w14:textId="77777777"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Est considéré comme travail de nuit le travail effectué entre 23 heures et 6 heures. L’employeur ne peut l’ordonner sans autorisation officielle que dans la mesure où le maintien des services d’urgence doit être garanti (</w:t>
      </w:r>
      <w:hyperlink r:id="rId20" w:anchor="art_18" w:history="1">
        <w:r w:rsidRPr="00EC2C99">
          <w:rPr>
            <w:rStyle w:val="Hyperlink"/>
            <w:rFonts w:ascii="Calibri" w:hAnsi="Calibri" w:cs="Calibri"/>
            <w:color w:val="3C5587"/>
            <w:szCs w:val="21"/>
            <w:lang w:val="fr-CH"/>
          </w:rPr>
          <w:t>art. 18 OLT 2</w:t>
        </w:r>
      </w:hyperlink>
      <w:r w:rsidRPr="006C0EDF">
        <w:rPr>
          <w:rFonts w:ascii="Calibri" w:hAnsi="Calibri" w:cs="Calibri"/>
          <w:szCs w:val="21"/>
          <w:lang w:val="fr-CH"/>
        </w:rPr>
        <w:t>).</w:t>
      </w:r>
    </w:p>
    <w:p w14:paraId="6593634D" w14:textId="77777777"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 travail de nuit est indemnisé par un supplément de salaire d’au moins 25% si l’assistante médicale intervient moins de 25 nuits par an (</w:t>
      </w:r>
      <w:hyperlink r:id="rId21" w:anchor="art_17_b" w:history="1">
        <w:r w:rsidRPr="00EC2C99">
          <w:rPr>
            <w:rStyle w:val="Hyperlink"/>
            <w:rFonts w:ascii="Calibri" w:hAnsi="Calibri" w:cs="Calibri"/>
            <w:color w:val="3C5587"/>
            <w:szCs w:val="21"/>
            <w:lang w:val="fr-CH"/>
          </w:rPr>
          <w:t>art. 17b LTr</w:t>
        </w:r>
      </w:hyperlink>
      <w:r w:rsidRPr="006C0EDF">
        <w:rPr>
          <w:rFonts w:ascii="Calibri" w:hAnsi="Calibri" w:cs="Calibri"/>
          <w:szCs w:val="21"/>
          <w:lang w:val="fr-CH"/>
        </w:rPr>
        <w:t xml:space="preserve"> en relation avec l’</w:t>
      </w:r>
      <w:hyperlink r:id="rId22" w:anchor="art_31" w:history="1">
        <w:r w:rsidRPr="00EC2C99">
          <w:rPr>
            <w:rStyle w:val="Hyperlink"/>
            <w:rFonts w:ascii="Calibri" w:hAnsi="Calibri" w:cs="Calibri"/>
            <w:color w:val="3C5587"/>
            <w:szCs w:val="21"/>
            <w:lang w:val="fr-CH"/>
          </w:rPr>
          <w:t>art. 31 OLT 1</w:t>
        </w:r>
      </w:hyperlink>
      <w:r w:rsidRPr="006C0EDF">
        <w:rPr>
          <w:rFonts w:ascii="Calibri" w:hAnsi="Calibri" w:cs="Calibri"/>
          <w:szCs w:val="21"/>
          <w:lang w:val="fr-CH"/>
        </w:rPr>
        <w:t>). Si elle est amenée à travailler plus souvent la nuit, les dispositions pertinentes de la loi sur le travail s’appliquent en sus.</w:t>
      </w:r>
    </w:p>
    <w:p w14:paraId="62556274" w14:textId="77777777" w:rsidR="006C0EDF" w:rsidRPr="00B21E8B" w:rsidRDefault="006C0EDF" w:rsidP="00AB7F89">
      <w:pPr>
        <w:tabs>
          <w:tab w:val="left" w:pos="600"/>
          <w:tab w:val="left" w:pos="4560"/>
        </w:tabs>
        <w:ind w:right="680"/>
        <w:rPr>
          <w:rFonts w:ascii="Calibri" w:hAnsi="Calibri" w:cs="Calibri"/>
          <w:b/>
          <w:bCs/>
          <w:szCs w:val="21"/>
          <w:lang w:val="fr-CH"/>
        </w:rPr>
      </w:pPr>
      <w:r w:rsidRPr="00B21E8B">
        <w:rPr>
          <w:rFonts w:ascii="Calibri" w:hAnsi="Calibri" w:cs="Calibri"/>
          <w:b/>
          <w:bCs/>
          <w:szCs w:val="21"/>
          <w:lang w:val="fr-CH"/>
        </w:rPr>
        <w:t>Travail du dimanche</w:t>
      </w:r>
    </w:p>
    <w:p w14:paraId="00AEE20C" w14:textId="77777777"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Est considéré comme travail du dimanche le travail qui tombe un dimanche ou un jour férié. L’employeur ne peut ordonner le travail du dimanche sans autorisation officielle que dans la mesure où le maintien des services d’urgence doit être garanti (</w:t>
      </w:r>
      <w:hyperlink r:id="rId23" w:anchor="art_19" w:history="1">
        <w:r w:rsidRPr="00EC2C99">
          <w:rPr>
            <w:rStyle w:val="Hyperlink"/>
            <w:rFonts w:ascii="Calibri" w:hAnsi="Calibri" w:cs="Calibri"/>
            <w:color w:val="3C5587"/>
            <w:szCs w:val="21"/>
            <w:lang w:val="fr-CH"/>
          </w:rPr>
          <w:t>art. 19 LTr</w:t>
        </w:r>
      </w:hyperlink>
      <w:r w:rsidRPr="006C0EDF">
        <w:rPr>
          <w:rFonts w:ascii="Calibri" w:hAnsi="Calibri" w:cs="Calibri"/>
          <w:szCs w:val="21"/>
          <w:lang w:val="fr-CH"/>
        </w:rPr>
        <w:t xml:space="preserve">, </w:t>
      </w:r>
      <w:hyperlink r:id="rId24" w:anchor="art_18" w:history="1">
        <w:r w:rsidRPr="004E403C">
          <w:rPr>
            <w:rStyle w:val="Hyperlink"/>
            <w:rFonts w:ascii="Calibri" w:hAnsi="Calibri" w:cs="Calibri"/>
            <w:color w:val="3C5587"/>
            <w:szCs w:val="21"/>
            <w:lang w:val="fr-CH"/>
          </w:rPr>
          <w:t>art. 18 OLT 2</w:t>
        </w:r>
      </w:hyperlink>
      <w:r w:rsidRPr="006C0EDF">
        <w:rPr>
          <w:rFonts w:ascii="Calibri" w:hAnsi="Calibri" w:cs="Calibri"/>
          <w:szCs w:val="21"/>
          <w:lang w:val="fr-CH"/>
        </w:rPr>
        <w:t>).</w:t>
      </w:r>
    </w:p>
    <w:p w14:paraId="50229B09" w14:textId="77777777"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Tout travail dominical dont la durée n’excède pas cinq heures doit être compensé par du temps libre. S’il dure plus de cinq heures, il sera compensé, pendant la semaine précédente ou suivante et immédiatement après le temps de repos quotidien, par un repos compensatoire d’au moins 24 heures consécutives coïncidant avec un jour de travail (</w:t>
      </w:r>
      <w:hyperlink r:id="rId25" w:anchor="art_20" w:history="1">
        <w:r w:rsidRPr="004E403C">
          <w:rPr>
            <w:rStyle w:val="Hyperlink"/>
            <w:rFonts w:ascii="Calibri" w:hAnsi="Calibri" w:cs="Calibri"/>
            <w:color w:val="3C5587"/>
            <w:szCs w:val="21"/>
            <w:lang w:val="fr-CH"/>
          </w:rPr>
          <w:t>art. 20 LTr</w:t>
        </w:r>
      </w:hyperlink>
      <w:r w:rsidRPr="006C0EDF">
        <w:rPr>
          <w:rFonts w:ascii="Calibri" w:hAnsi="Calibri" w:cs="Calibri"/>
          <w:szCs w:val="21"/>
          <w:lang w:val="fr-CH"/>
        </w:rPr>
        <w:t>). Le travail du dimanche est en outre indemnisé par un supplément de salaire d’au moins 50%.</w:t>
      </w:r>
    </w:p>
    <w:p w14:paraId="5AA27658" w14:textId="77777777" w:rsidR="006C0EDF" w:rsidRPr="0004026D" w:rsidRDefault="006C0EDF" w:rsidP="00AB7F89">
      <w:pPr>
        <w:tabs>
          <w:tab w:val="left" w:pos="600"/>
          <w:tab w:val="left" w:pos="4560"/>
        </w:tabs>
        <w:ind w:right="680"/>
        <w:rPr>
          <w:rFonts w:ascii="Calibri" w:hAnsi="Calibri" w:cs="Calibri"/>
          <w:b/>
          <w:bCs/>
          <w:szCs w:val="21"/>
          <w:lang w:val="fr-CH"/>
        </w:rPr>
      </w:pPr>
      <w:r w:rsidRPr="0004026D">
        <w:rPr>
          <w:rFonts w:ascii="Calibri" w:hAnsi="Calibri" w:cs="Calibri"/>
          <w:b/>
          <w:bCs/>
          <w:szCs w:val="21"/>
          <w:lang w:val="fr-CH"/>
        </w:rPr>
        <w:t>Pauses</w:t>
      </w:r>
    </w:p>
    <w:p w14:paraId="25A2FD9D" w14:textId="77777777" w:rsidR="006C0EDF" w:rsidRPr="006C0EDF" w:rsidRDefault="006C0EDF" w:rsidP="00AB7F89">
      <w:pPr>
        <w:tabs>
          <w:tab w:val="left" w:pos="600"/>
          <w:tab w:val="left" w:pos="4560"/>
        </w:tabs>
        <w:spacing w:after="240"/>
        <w:ind w:right="680"/>
        <w:contextualSpacing/>
        <w:rPr>
          <w:rFonts w:ascii="Calibri" w:hAnsi="Calibri" w:cs="Calibri"/>
          <w:szCs w:val="21"/>
          <w:lang w:val="fr-CH"/>
        </w:rPr>
      </w:pPr>
      <w:r w:rsidRPr="006C0EDF">
        <w:rPr>
          <w:rFonts w:ascii="Calibri" w:hAnsi="Calibri" w:cs="Calibri"/>
          <w:szCs w:val="21"/>
          <w:lang w:val="fr-CH"/>
        </w:rPr>
        <w:t>Conformément à l’</w:t>
      </w:r>
      <w:hyperlink r:id="rId26" w:anchor="art_15" w:history="1">
        <w:r w:rsidRPr="004E403C">
          <w:rPr>
            <w:rStyle w:val="Hyperlink"/>
            <w:rFonts w:ascii="Calibri" w:hAnsi="Calibri" w:cs="Calibri"/>
            <w:color w:val="3C5587"/>
            <w:szCs w:val="21"/>
            <w:lang w:val="fr-CH"/>
          </w:rPr>
          <w:t>art. 15 LTr</w:t>
        </w:r>
      </w:hyperlink>
      <w:r w:rsidRPr="006C0EDF">
        <w:rPr>
          <w:rFonts w:ascii="Calibri" w:hAnsi="Calibri" w:cs="Calibri"/>
          <w:szCs w:val="21"/>
          <w:lang w:val="fr-CH"/>
        </w:rPr>
        <w:t>, le travail doit être interrompu par des pauses d’au moins:</w:t>
      </w:r>
    </w:p>
    <w:p w14:paraId="23B6CFB2" w14:textId="77777777" w:rsidR="00C937B7" w:rsidRPr="00C937B7" w:rsidRDefault="006C0EDF" w:rsidP="00AB7F89">
      <w:pPr>
        <w:pStyle w:val="Aufzhlung1"/>
        <w:numPr>
          <w:ilvl w:val="0"/>
          <w:numId w:val="5"/>
        </w:numPr>
        <w:ind w:left="369" w:hanging="369"/>
        <w:rPr>
          <w:lang w:val="fr-CH"/>
        </w:rPr>
      </w:pPr>
      <w:r w:rsidRPr="00C937B7">
        <w:rPr>
          <w:lang w:val="fr-CH"/>
        </w:rPr>
        <w:t>un quart d’heure, si la journée de travail dure plus de cinq heures et demie;</w:t>
      </w:r>
    </w:p>
    <w:p w14:paraId="3B834406" w14:textId="77777777" w:rsidR="00C937B7" w:rsidRPr="00C937B7" w:rsidRDefault="006C0EDF" w:rsidP="00AB7F89">
      <w:pPr>
        <w:pStyle w:val="Aufzhlung1"/>
        <w:numPr>
          <w:ilvl w:val="0"/>
          <w:numId w:val="5"/>
        </w:numPr>
        <w:ind w:left="369" w:hanging="369"/>
        <w:rPr>
          <w:lang w:val="fr-CH"/>
        </w:rPr>
      </w:pPr>
      <w:r w:rsidRPr="00C937B7">
        <w:rPr>
          <w:rFonts w:ascii="Calibri" w:hAnsi="Calibri" w:cs="Calibri"/>
          <w:szCs w:val="21"/>
          <w:lang w:val="fr-CH"/>
        </w:rPr>
        <w:t>une demi-heure, si la journée de travail dure plus de sept heures;</w:t>
      </w:r>
    </w:p>
    <w:p w14:paraId="5AD1A5A6" w14:textId="1AC2BAC1" w:rsidR="006C0EDF" w:rsidRPr="00C937B7" w:rsidRDefault="006C0EDF" w:rsidP="00AB7F89">
      <w:pPr>
        <w:pStyle w:val="Aufzhlung1"/>
        <w:numPr>
          <w:ilvl w:val="0"/>
          <w:numId w:val="5"/>
        </w:numPr>
        <w:ind w:left="369" w:hanging="369"/>
        <w:rPr>
          <w:lang w:val="fr-CH"/>
        </w:rPr>
      </w:pPr>
      <w:r w:rsidRPr="00C937B7">
        <w:rPr>
          <w:rFonts w:ascii="Calibri" w:hAnsi="Calibri" w:cs="Calibri"/>
          <w:szCs w:val="21"/>
          <w:lang w:val="fr-CH"/>
        </w:rPr>
        <w:t>une heure, si la journée de travail dure plus de neuf heures.</w:t>
      </w:r>
    </w:p>
    <w:p w14:paraId="4158AFCD" w14:textId="045280C1" w:rsidR="006C0EDF" w:rsidRPr="006C0EDF" w:rsidRDefault="006C0EDF"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Les pauses comptent comme temps de travail si l’assistante médicale n’est pas autorisée à quitter son poste de travail.</w:t>
      </w:r>
    </w:p>
    <w:p w14:paraId="025D2F95" w14:textId="77777777" w:rsidR="006C0EDF" w:rsidRPr="00A34A38" w:rsidRDefault="006C0EDF" w:rsidP="00E22020">
      <w:pPr>
        <w:pStyle w:val="berschrift1nummeriert"/>
        <w:rPr>
          <w:lang w:val="fr-CH"/>
        </w:rPr>
      </w:pPr>
      <w:r w:rsidRPr="00A34A38">
        <w:rPr>
          <w:lang w:val="fr-CH"/>
        </w:rPr>
        <w:t>Droit au salaire - Déductions du salaire brut</w:t>
      </w:r>
    </w:p>
    <w:p w14:paraId="4BF70E04" w14:textId="77777777" w:rsidR="006C0EDF" w:rsidRPr="005E11F2" w:rsidRDefault="006C0EDF" w:rsidP="005E11F2">
      <w:pPr>
        <w:pStyle w:val="berschrift2nummeriert"/>
        <w:rPr>
          <w:lang w:val="fr-CH"/>
        </w:rPr>
      </w:pPr>
      <w:r w:rsidRPr="005E11F2">
        <w:rPr>
          <w:lang w:val="fr-CH"/>
        </w:rPr>
        <w:t>Salaire horaire</w:t>
      </w:r>
    </w:p>
    <w:p w14:paraId="5FE193B5" w14:textId="77777777" w:rsidR="006C0EDF" w:rsidRPr="00E22020" w:rsidRDefault="006C0EDF" w:rsidP="00AB7F89">
      <w:pPr>
        <w:spacing w:after="240"/>
        <w:rPr>
          <w:rFonts w:ascii="Calibri" w:hAnsi="Calibri" w:cs="Calibri"/>
          <w:szCs w:val="21"/>
          <w:lang w:val="fr-CH"/>
        </w:rPr>
      </w:pPr>
      <w:r w:rsidRPr="00E22020">
        <w:rPr>
          <w:rFonts w:ascii="Calibri" w:hAnsi="Calibri" w:cs="Calibri"/>
          <w:szCs w:val="21"/>
          <w:lang w:val="fr-CH"/>
        </w:rPr>
        <w:t xml:space="preserve">Si le </w:t>
      </w:r>
      <w:r w:rsidRPr="00E22020">
        <w:rPr>
          <w:rFonts w:ascii="Calibri" w:hAnsi="Calibri" w:cs="Calibri"/>
          <w:b/>
          <w:bCs/>
          <w:szCs w:val="21"/>
          <w:lang w:val="fr-CH"/>
        </w:rPr>
        <w:t>taux de travail est faible et irrégulier</w:t>
      </w:r>
      <w:r w:rsidRPr="00E22020">
        <w:rPr>
          <w:rFonts w:ascii="Calibri" w:hAnsi="Calibri" w:cs="Calibri"/>
          <w:szCs w:val="21"/>
          <w:lang w:val="fr-CH"/>
        </w:rPr>
        <w:t xml:space="preserve">, il est recommandé de verser un salaire horaire. Comme taux horaire, nous recommandons 6 </w:t>
      </w:r>
      <w:r w:rsidRPr="00E22020">
        <w:rPr>
          <w:rFonts w:ascii="Calibri" w:hAnsi="Calibri" w:cs="Calibri"/>
          <w:szCs w:val="21"/>
          <w:vertAlign w:val="superscript"/>
          <w:lang w:val="fr-CH"/>
        </w:rPr>
        <w:t>o</w:t>
      </w:r>
      <w:r w:rsidRPr="00E22020">
        <w:rPr>
          <w:rFonts w:ascii="Calibri" w:hAnsi="Calibri" w:cs="Calibri"/>
          <w:szCs w:val="21"/>
          <w:lang w:val="fr-CH"/>
        </w:rPr>
        <w:t>/</w:t>
      </w:r>
      <w:r w:rsidRPr="00E22020">
        <w:rPr>
          <w:rFonts w:ascii="Calibri" w:hAnsi="Calibri" w:cs="Calibri"/>
          <w:szCs w:val="21"/>
          <w:vertAlign w:val="subscript"/>
          <w:lang w:val="fr-CH"/>
        </w:rPr>
        <w:t>00</w:t>
      </w:r>
      <w:r w:rsidRPr="00E22020">
        <w:rPr>
          <w:rFonts w:ascii="Calibri" w:hAnsi="Calibri" w:cs="Calibri"/>
          <w:szCs w:val="21"/>
          <w:lang w:val="fr-CH"/>
        </w:rPr>
        <w:t xml:space="preserve"> d’un salaire mensuel pour un temps plein (le 13</w:t>
      </w:r>
      <w:r w:rsidRPr="00E22020">
        <w:rPr>
          <w:rFonts w:ascii="Calibri" w:hAnsi="Calibri" w:cs="Calibri"/>
          <w:szCs w:val="21"/>
          <w:vertAlign w:val="superscript"/>
          <w:lang w:val="fr-CH"/>
        </w:rPr>
        <w:t>e</w:t>
      </w:r>
      <w:r w:rsidRPr="00E22020">
        <w:rPr>
          <w:rFonts w:ascii="Calibri" w:hAnsi="Calibri" w:cs="Calibri"/>
          <w:szCs w:val="21"/>
          <w:lang w:val="fr-CH"/>
        </w:rPr>
        <w:t xml:space="preserve"> salaire y est inclus au prorata). En outre, une part de vacances de 8,33% doit être versée sur ce taux, qui correspond aux 4 semaines de vacances habituelles et doit être indiquée séparément sur chaque décompte de salaire (pour 5 semaines de vacances 10,64%, pour 6 semaines de vacances 13,04%, etc.). Ce calcul s’applique également au paiement des heures supplémentaires. </w:t>
      </w:r>
    </w:p>
    <w:p w14:paraId="6BEC78F1" w14:textId="77777777" w:rsidR="006C0EDF" w:rsidRPr="00E22020" w:rsidRDefault="006C0EDF" w:rsidP="00AB7F89">
      <w:pPr>
        <w:spacing w:after="240"/>
        <w:rPr>
          <w:rFonts w:ascii="Calibri" w:hAnsi="Calibri" w:cs="Calibri"/>
          <w:szCs w:val="21"/>
          <w:lang w:val="fr-CH"/>
        </w:rPr>
      </w:pPr>
      <w:r w:rsidRPr="00E22020">
        <w:rPr>
          <w:rFonts w:ascii="Calibri" w:hAnsi="Calibri" w:cs="Calibri"/>
          <w:szCs w:val="21"/>
          <w:lang w:val="fr-CH"/>
        </w:rPr>
        <w:t>Afin d’éviter toute discrimination par rapport à un emploi rémunéré au mois, il est recommandé de convenir d’une indemnité pour jours fériés. Selon la loi sur le travail, les cantons peuvent assimiler jusqu’à 8 jours fériés aux dimanches. À cela s’ajoute le 1</w:t>
      </w:r>
      <w:r w:rsidRPr="00E22020">
        <w:rPr>
          <w:rFonts w:ascii="Calibri" w:hAnsi="Calibri" w:cs="Calibri"/>
          <w:szCs w:val="21"/>
          <w:vertAlign w:val="superscript"/>
          <w:lang w:val="fr-CH"/>
        </w:rPr>
        <w:t>er</w:t>
      </w:r>
      <w:r w:rsidRPr="00E22020">
        <w:rPr>
          <w:rFonts w:ascii="Calibri" w:hAnsi="Calibri" w:cs="Calibri"/>
          <w:szCs w:val="21"/>
          <w:lang w:val="fr-CH"/>
        </w:rPr>
        <w:t xml:space="preserve"> août. On peut donc considérer qu’il y a au maximum 9 jours fériés par an. Il faut tenir compte du fait que certains jours fériés ont lieu à date fixe (p. ex. le 1</w:t>
      </w:r>
      <w:r w:rsidRPr="00E22020">
        <w:rPr>
          <w:rFonts w:ascii="Calibri" w:hAnsi="Calibri" w:cs="Calibri"/>
          <w:szCs w:val="21"/>
          <w:vertAlign w:val="superscript"/>
          <w:lang w:val="fr-CH"/>
        </w:rPr>
        <w:t>er</w:t>
      </w:r>
      <w:r w:rsidRPr="00E22020">
        <w:rPr>
          <w:rFonts w:ascii="Calibri" w:hAnsi="Calibri" w:cs="Calibri"/>
          <w:szCs w:val="21"/>
          <w:lang w:val="fr-CH"/>
        </w:rPr>
        <w:t xml:space="preserve"> mai) et peuvent tomber sur un </w:t>
      </w:r>
      <w:r w:rsidRPr="00E22020">
        <w:rPr>
          <w:rFonts w:ascii="Calibri" w:hAnsi="Calibri" w:cs="Calibri"/>
          <w:szCs w:val="21"/>
          <w:lang w:val="fr-CH"/>
        </w:rPr>
        <w:lastRenderedPageBreak/>
        <w:t xml:space="preserve">week-end. De plus, les jours fériés varient d’un canton à l’autre. Afin d’éviter un nouveau calcul annuel pour chaque canton, il faut donc partir d’une moyenne de 7,5 jours fériés tombant sur un jour ouvrable. </w:t>
      </w:r>
    </w:p>
    <w:p w14:paraId="69E8AEDC" w14:textId="77777777" w:rsidR="006C0EDF" w:rsidRPr="00C3247F" w:rsidRDefault="006C0EDF" w:rsidP="00AB7F89">
      <w:pPr>
        <w:spacing w:after="240"/>
        <w:rPr>
          <w:rFonts w:ascii="Calibri" w:hAnsi="Calibri" w:cs="Calibri"/>
          <w:szCs w:val="21"/>
          <w:lang w:val="fr-CH"/>
        </w:rPr>
      </w:pPr>
      <w:r w:rsidRPr="00C3247F">
        <w:rPr>
          <w:rFonts w:ascii="Calibri" w:hAnsi="Calibri" w:cs="Calibri"/>
          <w:szCs w:val="21"/>
          <w:lang w:val="fr-CH"/>
        </w:rPr>
        <w:t xml:space="preserve">L’indemnité de jours fériés est calculée de la même manière que l’indemnité de congé, sachant que la pratique se base sur 260 jours de travail par an:  </w:t>
      </w:r>
    </w:p>
    <w:p w14:paraId="0A6E9058" w14:textId="25BC27B8" w:rsidR="006C0EDF" w:rsidRPr="00D436D5" w:rsidRDefault="006C0EDF" w:rsidP="00AB7F89">
      <w:pPr>
        <w:spacing w:after="240"/>
        <w:ind w:firstLine="709"/>
        <w:rPr>
          <w:rFonts w:ascii="Calibri" w:hAnsi="Calibri" w:cs="Calibri"/>
          <w:szCs w:val="21"/>
          <w:lang w:val="fr-CH"/>
        </w:rPr>
      </w:pPr>
      <w:r w:rsidRPr="00280EB5">
        <w:rPr>
          <w:rFonts w:ascii="Calibri" w:hAnsi="Calibri" w:cs="Calibri"/>
          <w:szCs w:val="21"/>
          <w:lang w:val="fr-CH"/>
        </w:rPr>
        <w:t>7,5 jours fériés / (260 jours de travail - 7,5 jours fériés) = 2,97% du salaire brut par heure</w:t>
      </w:r>
    </w:p>
    <w:p w14:paraId="4EA4279B" w14:textId="77777777" w:rsidR="006C0EDF" w:rsidRPr="007F7C08" w:rsidRDefault="006C0EDF" w:rsidP="007F7C08">
      <w:pPr>
        <w:pStyle w:val="berschrift2nummeriert"/>
      </w:pPr>
      <w:r w:rsidRPr="007F7C08">
        <w:t>Déductions du salaire brut</w:t>
      </w:r>
    </w:p>
    <w:p w14:paraId="0A904286" w14:textId="1259E62A" w:rsidR="006C0EDF" w:rsidRPr="000A76E7" w:rsidRDefault="006C0EDF" w:rsidP="007924B8">
      <w:pPr>
        <w:pStyle w:val="Aufzhlung1"/>
        <w:numPr>
          <w:ilvl w:val="0"/>
          <w:numId w:val="5"/>
        </w:numPr>
        <w:spacing w:after="0"/>
        <w:ind w:left="369" w:hanging="369"/>
        <w:rPr>
          <w:rFonts w:ascii="Calibri" w:hAnsi="Calibri" w:cs="Calibri"/>
          <w:szCs w:val="21"/>
          <w:lang w:val="fr-CH"/>
        </w:rPr>
      </w:pPr>
      <w:r w:rsidRPr="000A76E7">
        <w:rPr>
          <w:rFonts w:ascii="Calibri" w:hAnsi="Calibri" w:cs="Calibri"/>
          <w:szCs w:val="21"/>
          <w:lang w:val="fr-CH"/>
        </w:rPr>
        <w:t xml:space="preserve">AVS, AI, APG, AC: les déductions salariales légales s’élèvent au total à 6,4% (situation au 01.01.2022). Les déductions actuelles se trouvent </w:t>
      </w:r>
      <w:hyperlink r:id="rId27" w:history="1">
        <w:r w:rsidRPr="000A76E7">
          <w:rPr>
            <w:lang w:val="fr-CH"/>
          </w:rPr>
          <w:t>ici</w:t>
        </w:r>
      </w:hyperlink>
      <w:r w:rsidRPr="000A76E7">
        <w:rPr>
          <w:rFonts w:ascii="Calibri" w:hAnsi="Calibri" w:cs="Calibri"/>
          <w:szCs w:val="21"/>
          <w:lang w:val="fr-CH"/>
        </w:rPr>
        <w:t>.</w:t>
      </w:r>
    </w:p>
    <w:p w14:paraId="5B54C0A8" w14:textId="7A46CFE6" w:rsidR="006C0EDF" w:rsidRPr="000A76E7" w:rsidRDefault="006C0EDF" w:rsidP="007924B8">
      <w:pPr>
        <w:pStyle w:val="Aufzhlung1"/>
        <w:numPr>
          <w:ilvl w:val="0"/>
          <w:numId w:val="5"/>
        </w:numPr>
        <w:spacing w:after="0"/>
        <w:ind w:left="369" w:hanging="369"/>
        <w:rPr>
          <w:rFonts w:ascii="Calibri" w:hAnsi="Calibri" w:cs="Calibri"/>
          <w:szCs w:val="21"/>
          <w:lang w:val="fr-CH"/>
        </w:rPr>
      </w:pPr>
      <w:r w:rsidRPr="000A76E7">
        <w:rPr>
          <w:rFonts w:ascii="Calibri" w:hAnsi="Calibri" w:cs="Calibri"/>
          <w:szCs w:val="21"/>
          <w:lang w:val="fr-CH"/>
        </w:rPr>
        <w:t>Assurance-accidents non professionnels (si le temps de travail hebdomadaire est supérieur à 8 heures): déduction selon le contrat d’assurance concret.</w:t>
      </w:r>
    </w:p>
    <w:p w14:paraId="25104078" w14:textId="6D8FB95F" w:rsidR="006C0EDF" w:rsidRPr="000A76E7" w:rsidRDefault="006C0EDF" w:rsidP="007924B8">
      <w:pPr>
        <w:pStyle w:val="Aufzhlung1"/>
        <w:numPr>
          <w:ilvl w:val="0"/>
          <w:numId w:val="5"/>
        </w:numPr>
        <w:spacing w:after="0"/>
        <w:ind w:left="369" w:hanging="369"/>
        <w:rPr>
          <w:rFonts w:ascii="Calibri" w:hAnsi="Calibri" w:cs="Calibri"/>
          <w:szCs w:val="21"/>
          <w:lang w:val="fr-CH"/>
        </w:rPr>
      </w:pPr>
      <w:r w:rsidRPr="000A76E7">
        <w:rPr>
          <w:rFonts w:ascii="Calibri" w:hAnsi="Calibri" w:cs="Calibri"/>
          <w:szCs w:val="21"/>
          <w:lang w:val="fr-CH"/>
        </w:rPr>
        <w:t>Prévoyance vieillesse professionnelle (2e pilier LPP): part de l’employé (maximum et normalement 50%) de la cotisation liée à l’âge selon le certificat d’assurance.</w:t>
      </w:r>
    </w:p>
    <w:p w14:paraId="7B860253" w14:textId="77777777" w:rsidR="006C0EDF" w:rsidRPr="007F7C08" w:rsidRDefault="006C0EDF" w:rsidP="007F7C08">
      <w:pPr>
        <w:pStyle w:val="berschrift1nummeriert"/>
        <w:rPr>
          <w:lang w:val="fr-CH"/>
        </w:rPr>
      </w:pPr>
      <w:r w:rsidRPr="007F7C08">
        <w:rPr>
          <w:lang w:val="fr-CH"/>
        </w:rPr>
        <w:t>Vacances et jours de congé</w:t>
      </w:r>
    </w:p>
    <w:p w14:paraId="5F1415F9" w14:textId="77777777" w:rsidR="006C0EDF" w:rsidRPr="007F7C08" w:rsidRDefault="006C0EDF" w:rsidP="007F7C08">
      <w:pPr>
        <w:pStyle w:val="berschrift2nummeriert"/>
      </w:pPr>
      <w:r w:rsidRPr="007F7C08">
        <w:t>Vacances</w:t>
      </w:r>
    </w:p>
    <w:p w14:paraId="209BD9FC" w14:textId="77777777" w:rsidR="006C0EDF" w:rsidRPr="00F11A00" w:rsidRDefault="006C0EDF" w:rsidP="007924B8">
      <w:pPr>
        <w:pStyle w:val="Aufzhlung1"/>
        <w:numPr>
          <w:ilvl w:val="0"/>
          <w:numId w:val="5"/>
        </w:numPr>
        <w:spacing w:after="0"/>
        <w:ind w:left="369" w:hanging="369"/>
        <w:rPr>
          <w:rFonts w:ascii="Calibri" w:hAnsi="Calibri" w:cs="Calibri"/>
          <w:szCs w:val="21"/>
          <w:lang w:val="fr-CH"/>
        </w:rPr>
      </w:pPr>
      <w:r w:rsidRPr="00F11A00">
        <w:rPr>
          <w:rFonts w:ascii="Calibri" w:hAnsi="Calibri" w:cs="Calibri"/>
          <w:szCs w:val="21"/>
          <w:lang w:val="fr-CH"/>
        </w:rPr>
        <w:t xml:space="preserve">Lors de la fixation des vacances, il faut tenir compte du fait qu’au moins deux semaines de vacances par an doivent être consécutives. </w:t>
      </w:r>
    </w:p>
    <w:p w14:paraId="0CDB5A1E" w14:textId="0EE6050F" w:rsidR="006C0EDF" w:rsidRPr="00F11A00" w:rsidRDefault="006C0EDF" w:rsidP="007924B8">
      <w:pPr>
        <w:pStyle w:val="Aufzhlung1"/>
        <w:numPr>
          <w:ilvl w:val="0"/>
          <w:numId w:val="5"/>
        </w:numPr>
        <w:spacing w:after="0"/>
        <w:ind w:left="369" w:hanging="369"/>
        <w:rPr>
          <w:rFonts w:ascii="Calibri" w:hAnsi="Calibri" w:cs="Calibri"/>
          <w:szCs w:val="21"/>
          <w:lang w:val="fr-CH"/>
        </w:rPr>
      </w:pPr>
      <w:r w:rsidRPr="00F11A00">
        <w:rPr>
          <w:rFonts w:ascii="Calibri" w:hAnsi="Calibri" w:cs="Calibri"/>
          <w:szCs w:val="21"/>
          <w:lang w:val="fr-CH"/>
        </w:rPr>
        <w:t>Pour une année de service incomplète, les vacances doivent être accordées en fonction de la durée des rapports de travail pendant l’année de service concernée.</w:t>
      </w:r>
    </w:p>
    <w:p w14:paraId="561CFBD3" w14:textId="77777777" w:rsidR="006C0EDF" w:rsidRPr="00F11A00" w:rsidRDefault="006C0EDF" w:rsidP="00F11A00">
      <w:pPr>
        <w:pStyle w:val="berschrift2nummeriert"/>
      </w:pPr>
      <w:r w:rsidRPr="00F11A00">
        <w:t>Jours de congé</w:t>
      </w:r>
    </w:p>
    <w:p w14:paraId="5A96C0F1" w14:textId="08281017" w:rsidR="006C0EDF" w:rsidRPr="006C0EDF" w:rsidRDefault="006C0EDF" w:rsidP="00AB7F89">
      <w:pPr>
        <w:spacing w:after="140" w:line="300" w:lineRule="atLeast"/>
        <w:ind w:right="680"/>
        <w:rPr>
          <w:rFonts w:ascii="Calibri" w:hAnsi="Calibri" w:cs="Calibri"/>
          <w:szCs w:val="21"/>
          <w:lang w:val="fr-CH"/>
        </w:rPr>
      </w:pPr>
      <w:r w:rsidRPr="006C0EDF">
        <w:rPr>
          <w:rFonts w:ascii="Calibri" w:hAnsi="Calibri" w:cs="Calibri"/>
          <w:szCs w:val="21"/>
          <w:lang w:val="fr-CH"/>
        </w:rPr>
        <w:t xml:space="preserve">Font par exemple partie des affaires personnelles urgentes la visite chez le médecin ou le dentiste, la nécessité de se rendre dans un bureau administratif, mais aussi le don de sang et le passage d’examens (permis de conduire, entretien d’embauche pour un nouvel emploi après avoir démissionné), ainsi que d’autres événements. </w:t>
      </w:r>
    </w:p>
    <w:p w14:paraId="6474B391" w14:textId="77777777" w:rsidR="006C0EDF" w:rsidRPr="0010128A" w:rsidRDefault="006C0EDF" w:rsidP="0010128A">
      <w:pPr>
        <w:pStyle w:val="berschrift1nummeriert"/>
        <w:rPr>
          <w:lang w:val="fr-CH"/>
        </w:rPr>
      </w:pPr>
      <w:r w:rsidRPr="0010128A">
        <w:rPr>
          <w:lang w:val="fr-CH"/>
        </w:rPr>
        <w:t>Domaine d’activité, devoir de diligence</w:t>
      </w:r>
    </w:p>
    <w:p w14:paraId="307245F8" w14:textId="329EA7A6" w:rsidR="006C0EDF" w:rsidRPr="0010128A" w:rsidRDefault="006C0EDF" w:rsidP="00AB7F89">
      <w:pPr>
        <w:tabs>
          <w:tab w:val="left" w:pos="4560"/>
        </w:tabs>
        <w:spacing w:after="240"/>
        <w:ind w:right="680"/>
        <w:rPr>
          <w:rFonts w:ascii="Calibri" w:hAnsi="Calibri" w:cs="Calibri"/>
          <w:szCs w:val="21"/>
          <w:lang w:val="fr-CH"/>
        </w:rPr>
      </w:pPr>
      <w:r w:rsidRPr="0010128A">
        <w:rPr>
          <w:rFonts w:ascii="Calibri" w:hAnsi="Calibri" w:cs="Calibri"/>
          <w:szCs w:val="21"/>
          <w:lang w:val="fr-CH"/>
        </w:rPr>
        <w:t>Il est fortement recommandé d’établir un cahier des charges précisant le domaine d’activité et les tâches.</w:t>
      </w:r>
    </w:p>
    <w:p w14:paraId="2AF2F65D" w14:textId="77777777" w:rsidR="006C0EDF" w:rsidRPr="0010128A" w:rsidRDefault="006C0EDF" w:rsidP="0010128A">
      <w:pPr>
        <w:pStyle w:val="berschrift1nummeriert"/>
      </w:pPr>
      <w:r w:rsidRPr="0010128A">
        <w:t>Protection de la santé</w:t>
      </w:r>
    </w:p>
    <w:p w14:paraId="45E21B43" w14:textId="77777777" w:rsidR="006C0EDF" w:rsidRPr="00395676" w:rsidRDefault="006C0EDF" w:rsidP="00AB7F89">
      <w:pPr>
        <w:tabs>
          <w:tab w:val="left" w:pos="4560"/>
        </w:tabs>
        <w:ind w:right="680"/>
        <w:rPr>
          <w:rFonts w:ascii="Calibri" w:hAnsi="Calibri" w:cs="Calibri"/>
          <w:b/>
          <w:bCs/>
          <w:szCs w:val="21"/>
          <w:lang w:val="fr-CH"/>
        </w:rPr>
      </w:pPr>
      <w:r w:rsidRPr="00395676">
        <w:rPr>
          <w:rFonts w:ascii="Calibri" w:hAnsi="Calibri" w:cs="Calibri"/>
          <w:b/>
          <w:bCs/>
          <w:szCs w:val="21"/>
          <w:lang w:val="fr-CH"/>
        </w:rPr>
        <w:t>En cas de grossesse et de maternité</w:t>
      </w:r>
    </w:p>
    <w:p w14:paraId="0E3CAC24" w14:textId="77777777" w:rsidR="006C0EDF" w:rsidRPr="00395676" w:rsidRDefault="006C0EDF" w:rsidP="00AB7F89">
      <w:pPr>
        <w:tabs>
          <w:tab w:val="left" w:pos="4560"/>
        </w:tabs>
        <w:spacing w:after="240"/>
        <w:ind w:right="680"/>
        <w:rPr>
          <w:rFonts w:ascii="Calibri" w:hAnsi="Calibri" w:cs="Calibri"/>
          <w:szCs w:val="21"/>
          <w:lang w:val="fr-CH"/>
        </w:rPr>
      </w:pPr>
      <w:r w:rsidRPr="00395676">
        <w:rPr>
          <w:rFonts w:ascii="Calibri" w:hAnsi="Calibri" w:cs="Calibri"/>
          <w:szCs w:val="21"/>
          <w:lang w:val="fr-CH"/>
        </w:rPr>
        <w:t>L’employeur n’est autorisé à affecter des femmes enceintes, des accouchées ou des mères qui allaitent à des travaux dangereux ou pénibles que lorsque l’inexistence de toute menace pour la santé de la mère ou celle de l’enfant est établie sur la base d’une analyse de risques ou que la prise de mesures de protection adéquates permet d’y parer (</w:t>
      </w:r>
      <w:hyperlink r:id="rId28" w:anchor="art_62" w:history="1">
        <w:r w:rsidRPr="00395676">
          <w:rPr>
            <w:rStyle w:val="Hyperlink"/>
            <w:rFonts w:ascii="Calibri" w:hAnsi="Calibri" w:cs="Calibri"/>
            <w:color w:val="3C5587"/>
            <w:szCs w:val="21"/>
            <w:lang w:val="fr-CH"/>
          </w:rPr>
          <w:t>art. 62 OLT 1</w:t>
        </w:r>
      </w:hyperlink>
      <w:r w:rsidRPr="00395676">
        <w:rPr>
          <w:rFonts w:ascii="Calibri" w:hAnsi="Calibri" w:cs="Calibri"/>
          <w:szCs w:val="21"/>
          <w:lang w:val="fr-CH"/>
        </w:rPr>
        <w:t>).</w:t>
      </w:r>
      <w:r w:rsidRPr="00395676">
        <w:rPr>
          <w:rFonts w:ascii="Calibri" w:hAnsi="Calibri" w:cs="Calibri"/>
          <w:szCs w:val="21"/>
          <w:lang w:val="fr-CH"/>
        </w:rPr>
        <w:tab/>
      </w:r>
    </w:p>
    <w:p w14:paraId="48A4898A" w14:textId="77777777" w:rsidR="006C0EDF" w:rsidRPr="00395676" w:rsidRDefault="006C0EDF" w:rsidP="00AB7F89">
      <w:pPr>
        <w:tabs>
          <w:tab w:val="left" w:pos="4560"/>
        </w:tabs>
        <w:spacing w:after="240"/>
        <w:ind w:right="680"/>
        <w:rPr>
          <w:rFonts w:ascii="Calibri" w:hAnsi="Calibri" w:cs="Calibri"/>
          <w:szCs w:val="21"/>
          <w:lang w:val="fr-CH"/>
        </w:rPr>
      </w:pPr>
      <w:r w:rsidRPr="00395676">
        <w:rPr>
          <w:rFonts w:ascii="Calibri" w:hAnsi="Calibri" w:cs="Calibri"/>
          <w:szCs w:val="21"/>
          <w:lang w:val="fr-CH"/>
        </w:rPr>
        <w:t xml:space="preserve">En principe, une entreprise qui effectue des travaux dangereux ou pénibles doit procéder à une analyse des risques. Celle-ci doit notamment préciser les risques encourus par une femme enceinte ou allaitante, les moyens de les éviter et les travaux interdits pendant la grossesse et l’allaitement. L’employeur a l’obligation d’informer la collaboratrice concernée des résultats de l’analyse des risques. Si une </w:t>
      </w:r>
      <w:r w:rsidRPr="00395676">
        <w:rPr>
          <w:rFonts w:ascii="Calibri" w:hAnsi="Calibri" w:cs="Calibri"/>
          <w:szCs w:val="21"/>
          <w:lang w:val="fr-CH"/>
        </w:rPr>
        <w:lastRenderedPageBreak/>
        <w:t>menace pour la santé de la mère et de l’enfant ne peut être éliminée que par la prise de mesures de protection appropriées, leur efficacité doit être contrôlée périodiquement, au moins une fois par trimestre.</w:t>
      </w:r>
    </w:p>
    <w:p w14:paraId="2A3D3871" w14:textId="1D64B6A3" w:rsidR="006C0EDF" w:rsidRPr="00E270ED" w:rsidRDefault="006C0EDF" w:rsidP="00AB7F89">
      <w:pPr>
        <w:tabs>
          <w:tab w:val="left" w:pos="4560"/>
        </w:tabs>
        <w:spacing w:after="240"/>
        <w:ind w:right="680"/>
        <w:rPr>
          <w:rFonts w:ascii="Calibri" w:hAnsi="Calibri" w:cs="Calibri"/>
          <w:szCs w:val="21"/>
          <w:lang w:val="fr-CH"/>
        </w:rPr>
      </w:pPr>
      <w:r w:rsidRPr="00395676">
        <w:rPr>
          <w:rFonts w:ascii="Calibri" w:hAnsi="Calibri" w:cs="Calibri"/>
          <w:szCs w:val="21"/>
          <w:lang w:val="fr-CH"/>
        </w:rPr>
        <w:t xml:space="preserve">Vous trouverez un modèle d’évaluation des risques du poste de travail sur le site MPA@FMH sous </w:t>
      </w:r>
      <w:hyperlink r:id="rId29" w:history="1">
        <w:r w:rsidRPr="00395676">
          <w:rPr>
            <w:rStyle w:val="Hyperlink"/>
            <w:rFonts w:ascii="Calibri" w:hAnsi="Calibri" w:cs="Calibri"/>
            <w:color w:val="3C5587"/>
            <w:szCs w:val="21"/>
            <w:lang w:val="fr-CH"/>
          </w:rPr>
          <w:t>Droit du travail - Maternité</w:t>
        </w:r>
      </w:hyperlink>
      <w:r w:rsidRPr="00395676">
        <w:rPr>
          <w:rFonts w:ascii="Calibri" w:hAnsi="Calibri" w:cs="Calibri"/>
          <w:szCs w:val="21"/>
          <w:lang w:val="fr-CH"/>
        </w:rPr>
        <w:t>.</w:t>
      </w:r>
    </w:p>
    <w:p w14:paraId="09AB04B8" w14:textId="77777777" w:rsidR="006C0EDF" w:rsidRPr="00E270ED" w:rsidRDefault="006C0EDF" w:rsidP="00E270ED">
      <w:pPr>
        <w:pStyle w:val="berschrift1nummeriert"/>
      </w:pPr>
      <w:r w:rsidRPr="00E270ED">
        <w:t>Secret professionnel</w:t>
      </w:r>
    </w:p>
    <w:p w14:paraId="00E0CD21" w14:textId="77777777" w:rsidR="006C0EDF" w:rsidRPr="00E270ED" w:rsidRDefault="006E13EE" w:rsidP="006E13EE">
      <w:pPr>
        <w:tabs>
          <w:tab w:val="left" w:pos="4560"/>
        </w:tabs>
        <w:spacing w:after="240"/>
        <w:ind w:right="680"/>
        <w:rPr>
          <w:rFonts w:ascii="Calibri" w:hAnsi="Calibri" w:cs="Calibri"/>
          <w:szCs w:val="21"/>
          <w:lang w:val="fr-CH"/>
        </w:rPr>
      </w:pPr>
      <w:hyperlink r:id="rId30" w:anchor="art_321" w:history="1">
        <w:r w:rsidR="006C0EDF" w:rsidRPr="00E270ED">
          <w:rPr>
            <w:rStyle w:val="Hyperlink"/>
            <w:rFonts w:ascii="Calibri" w:hAnsi="Calibri" w:cs="Calibri"/>
            <w:color w:val="3C5587"/>
            <w:szCs w:val="21"/>
            <w:lang w:val="fr-CH"/>
          </w:rPr>
          <w:t>L’art. 321 du Code pénal suisse</w:t>
        </w:r>
      </w:hyperlink>
      <w:r w:rsidR="006C0EDF" w:rsidRPr="00E270ED">
        <w:rPr>
          <w:rFonts w:ascii="Calibri" w:hAnsi="Calibri" w:cs="Calibri"/>
          <w:szCs w:val="21"/>
          <w:lang w:val="fr-CH"/>
        </w:rPr>
        <w:t xml:space="preserve"> dispose ce qui suit:</w:t>
      </w:r>
    </w:p>
    <w:p w14:paraId="7A713C78" w14:textId="77777777" w:rsidR="00DE6C17" w:rsidRDefault="006C0EDF" w:rsidP="006E13EE">
      <w:pPr>
        <w:pStyle w:val="Nummerierung1"/>
        <w:rPr>
          <w:lang w:val="fr-CH"/>
        </w:rPr>
      </w:pPr>
      <w:r w:rsidRPr="00DE6C17">
        <w:rPr>
          <w:lang w:val="fr-CH"/>
        </w:rPr>
        <w:t xml:space="preserve">Les ecclésiastiques, avocats, défenseurs en justice, notaires, conseils en brevet, contrôleurs astreints au secret professionnel en vertu du code des obligations, médecins, dentistes, chiropraticiens, pharmaciens, sages-femmes, psychologues, infirmiers, physiothérapeutes, ergothérapeutes, diététiciens, optométristes, ostéopathes, ainsi que leurs auxiliaires, qui auront révélé un secret à eux confié en vertu de leur profession ou dont ils avaient eu connaissance dans l’exercice de celle-ci, seront, sur plainte, punis d’une peine privative de liberté de trois ans au plus ou d’une peine pécuniaire. </w:t>
      </w:r>
    </w:p>
    <w:p w14:paraId="0AD11A4B" w14:textId="77777777" w:rsidR="00DE6C17" w:rsidRDefault="006C0EDF" w:rsidP="006E13EE">
      <w:pPr>
        <w:pStyle w:val="Nummerierung1"/>
        <w:numPr>
          <w:ilvl w:val="0"/>
          <w:numId w:val="0"/>
        </w:numPr>
        <w:ind w:left="425"/>
        <w:rPr>
          <w:rFonts w:ascii="Calibri" w:hAnsi="Calibri" w:cs="Calibri"/>
          <w:szCs w:val="21"/>
          <w:lang w:val="fr-CH"/>
        </w:rPr>
      </w:pPr>
      <w:r w:rsidRPr="00DE6C17">
        <w:rPr>
          <w:rFonts w:ascii="Calibri" w:hAnsi="Calibri" w:cs="Calibri"/>
          <w:szCs w:val="21"/>
          <w:lang w:val="fr-CH"/>
        </w:rPr>
        <w:t>Seront punis de la même peine les étudiants qui auront révélé un secret dont ils avaient eu connaissance à l’occasion de leurs études.</w:t>
      </w:r>
    </w:p>
    <w:p w14:paraId="03F612B7" w14:textId="5448ACA1" w:rsidR="00DE6C17" w:rsidRDefault="006C0EDF" w:rsidP="006E13EE">
      <w:pPr>
        <w:pStyle w:val="Nummerierung1"/>
        <w:numPr>
          <w:ilvl w:val="0"/>
          <w:numId w:val="0"/>
        </w:numPr>
        <w:ind w:left="425"/>
        <w:rPr>
          <w:rFonts w:ascii="Calibri" w:hAnsi="Calibri" w:cs="Calibri"/>
          <w:szCs w:val="21"/>
          <w:lang w:val="fr-CH"/>
        </w:rPr>
      </w:pPr>
      <w:r w:rsidRPr="00DE6C17">
        <w:rPr>
          <w:rFonts w:ascii="Calibri" w:hAnsi="Calibri" w:cs="Calibri"/>
          <w:szCs w:val="21"/>
          <w:lang w:val="fr-CH"/>
        </w:rPr>
        <w:t>La révélation demeure punissable alors même que le détenteur du secret n’exerce plus sa profession ou qu’il a achevé ses études.</w:t>
      </w:r>
    </w:p>
    <w:p w14:paraId="6066246D" w14:textId="6B0B5673" w:rsidR="00DE6C17" w:rsidRPr="00DE6C17" w:rsidRDefault="006C0EDF" w:rsidP="006E13EE">
      <w:pPr>
        <w:pStyle w:val="Nummerierung1"/>
        <w:rPr>
          <w:lang w:val="fr-CH"/>
        </w:rPr>
      </w:pPr>
      <w:r w:rsidRPr="00134A79">
        <w:rPr>
          <w:lang w:val="fr-CH"/>
        </w:rPr>
        <w:t>La révélation ne sera pas punissable si elle a été faite avec le consentement de l’intéressé ou si, sur la proposition du détenteur du secret, l’autorité supérieure ou l’autorité de surveillance l’a autorisée par écrit.</w:t>
      </w:r>
    </w:p>
    <w:p w14:paraId="23B6300C" w14:textId="08AF9825" w:rsidR="006C0EDF" w:rsidRPr="00DE6C17" w:rsidRDefault="006C0EDF" w:rsidP="006E13EE">
      <w:pPr>
        <w:pStyle w:val="Nummerierung1"/>
        <w:rPr>
          <w:lang w:val="fr-CH"/>
        </w:rPr>
      </w:pPr>
      <w:r w:rsidRPr="00134A79">
        <w:rPr>
          <w:lang w:val="fr-CH"/>
        </w:rPr>
        <w:t>Demeurent réservées les dispositions de la législation fédérale et cantonale statuant un droit d’aviser une autorité et de collaborer, une obligation de renseigner une autorité ou une obligation de témoigner en justice.</w:t>
      </w:r>
    </w:p>
    <w:p w14:paraId="1F5E074A" w14:textId="77777777" w:rsidR="006C0EDF" w:rsidRPr="00A648DA" w:rsidRDefault="006C0EDF" w:rsidP="00A648DA">
      <w:pPr>
        <w:pStyle w:val="berschrift1nummeriert"/>
      </w:pPr>
      <w:r w:rsidRPr="00A648DA">
        <w:t>Formation continue professionnelle</w:t>
      </w:r>
    </w:p>
    <w:p w14:paraId="436851AD" w14:textId="71F33CCF" w:rsidR="006C0EDF" w:rsidRPr="00A648DA" w:rsidRDefault="006C0EDF" w:rsidP="006E13EE">
      <w:pPr>
        <w:tabs>
          <w:tab w:val="left" w:pos="4560"/>
        </w:tabs>
        <w:ind w:right="680"/>
        <w:rPr>
          <w:rFonts w:ascii="Calibri" w:hAnsi="Calibri" w:cs="Calibri"/>
          <w:szCs w:val="21"/>
          <w:lang w:val="fr-CH"/>
        </w:rPr>
      </w:pPr>
      <w:r w:rsidRPr="00A648DA">
        <w:rPr>
          <w:rFonts w:ascii="Calibri" w:hAnsi="Calibri" w:cs="Calibri"/>
          <w:szCs w:val="21"/>
          <w:lang w:val="fr-CH"/>
        </w:rPr>
        <w:t>Par frais de voyage, on entend le coût du trajet aller-retour d’un billet CFF de 2</w:t>
      </w:r>
      <w:r w:rsidRPr="00A648DA">
        <w:rPr>
          <w:rFonts w:ascii="Calibri" w:hAnsi="Calibri" w:cs="Calibri"/>
          <w:szCs w:val="21"/>
          <w:vertAlign w:val="superscript"/>
          <w:lang w:val="fr-CH"/>
        </w:rPr>
        <w:t>e</w:t>
      </w:r>
      <w:r w:rsidRPr="00A648DA">
        <w:rPr>
          <w:rFonts w:ascii="Calibri" w:hAnsi="Calibri" w:cs="Calibri"/>
          <w:szCs w:val="21"/>
          <w:lang w:val="fr-CH"/>
        </w:rPr>
        <w:t xml:space="preserve"> classe à demi-tarif entre le lieu de travail ou de domicile et le lieu de réunion. Le temps de trajet n’est pas considéré comme du temps de réunion.</w:t>
      </w:r>
    </w:p>
    <w:p w14:paraId="14122A66" w14:textId="77777777" w:rsidR="006C0EDF" w:rsidRPr="00A648DA" w:rsidRDefault="006C0EDF" w:rsidP="0009793C">
      <w:pPr>
        <w:pStyle w:val="berschrift1nummeriert"/>
        <w:rPr>
          <w:lang w:val="fr-CH"/>
        </w:rPr>
      </w:pPr>
      <w:r w:rsidRPr="00A648DA">
        <w:rPr>
          <w:lang w:val="fr-CH"/>
        </w:rPr>
        <w:t>Congé pour les activités de jeunesse extra-scolaires</w:t>
      </w:r>
    </w:p>
    <w:p w14:paraId="1E7CC79F" w14:textId="57433FE2" w:rsidR="006C0EDF" w:rsidRPr="0009793C" w:rsidRDefault="006C0EDF" w:rsidP="006E13EE">
      <w:pPr>
        <w:tabs>
          <w:tab w:val="left" w:pos="4560"/>
        </w:tabs>
        <w:ind w:right="680"/>
        <w:rPr>
          <w:rFonts w:ascii="Calibri" w:hAnsi="Calibri" w:cs="Calibri"/>
          <w:szCs w:val="21"/>
          <w:lang w:val="fr-CH"/>
        </w:rPr>
      </w:pPr>
      <w:r w:rsidRPr="00A648DA">
        <w:rPr>
          <w:rFonts w:ascii="Calibri" w:hAnsi="Calibri" w:cs="Calibri"/>
          <w:szCs w:val="21"/>
          <w:lang w:val="fr-CH"/>
        </w:rPr>
        <w:t>Le congé pour les activités de jeunesse extra-scolaires est régi par l’</w:t>
      </w:r>
      <w:hyperlink r:id="rId31" w:anchor="art_329_e" w:history="1">
        <w:r w:rsidRPr="00A648DA">
          <w:rPr>
            <w:rStyle w:val="Hyperlink"/>
            <w:rFonts w:ascii="Calibri" w:hAnsi="Calibri" w:cs="Calibri"/>
            <w:color w:val="3C5587"/>
            <w:szCs w:val="21"/>
            <w:lang w:val="fr-CH"/>
          </w:rPr>
          <w:t>art. 329e CO</w:t>
        </w:r>
      </w:hyperlink>
      <w:r w:rsidRPr="00A648DA">
        <w:rPr>
          <w:rFonts w:ascii="Calibri" w:hAnsi="Calibri" w:cs="Calibri"/>
          <w:szCs w:val="21"/>
          <w:lang w:val="fr-CH"/>
        </w:rPr>
        <w:t>. Les parties conviennent des dates et de la durée du congé-jeunesse en tenant compte des intérêts de chacun.</w:t>
      </w:r>
    </w:p>
    <w:p w14:paraId="3402E4E5" w14:textId="77777777" w:rsidR="006C0EDF" w:rsidRPr="0009793C" w:rsidRDefault="006C0EDF" w:rsidP="0009793C">
      <w:pPr>
        <w:pStyle w:val="berschrift1nummeriert"/>
        <w:rPr>
          <w:lang w:val="fr-CH"/>
        </w:rPr>
      </w:pPr>
      <w:r w:rsidRPr="0009793C">
        <w:rPr>
          <w:lang w:val="fr-CH"/>
        </w:rPr>
        <w:t>Salaire en cas d’empêchement de travailler</w:t>
      </w:r>
    </w:p>
    <w:p w14:paraId="6E13FFA1" w14:textId="0C511901" w:rsidR="006C0EDF" w:rsidRPr="006C0EDF" w:rsidRDefault="006C0EDF" w:rsidP="0009793C">
      <w:pPr>
        <w:pStyle w:val="berschrift2nummeriert"/>
        <w:rPr>
          <w:lang w:val="fr-CH"/>
        </w:rPr>
      </w:pPr>
      <w:r w:rsidRPr="006C0EDF">
        <w:rPr>
          <w:lang w:val="fr-CH"/>
        </w:rPr>
        <w:t>Assurance-maladie d’indemnités journalières / Échelle bernoise</w:t>
      </w:r>
    </w:p>
    <w:p w14:paraId="1042A68C" w14:textId="77777777" w:rsidR="006C0EDF" w:rsidRPr="0009793C" w:rsidRDefault="006C0EDF" w:rsidP="006E13EE">
      <w:pPr>
        <w:tabs>
          <w:tab w:val="left" w:pos="4560"/>
        </w:tabs>
        <w:spacing w:after="140" w:line="300" w:lineRule="atLeast"/>
        <w:ind w:right="680"/>
        <w:rPr>
          <w:rFonts w:ascii="Calibri" w:hAnsi="Calibri" w:cs="Calibri"/>
          <w:szCs w:val="21"/>
          <w:lang w:val="fr-CH"/>
        </w:rPr>
      </w:pPr>
      <w:r w:rsidRPr="0009793C">
        <w:rPr>
          <w:rFonts w:ascii="Calibri" w:hAnsi="Calibri" w:cs="Calibri"/>
          <w:szCs w:val="21"/>
          <w:lang w:val="fr-CH"/>
        </w:rPr>
        <w:t>L’obligation de verser le salaire en cas d’empêchement de travailler se fonde sur l’</w:t>
      </w:r>
      <w:hyperlink r:id="rId32" w:anchor="art_324_a" w:history="1">
        <w:r w:rsidRPr="0009793C">
          <w:rPr>
            <w:rStyle w:val="Hyperlink"/>
            <w:rFonts w:ascii="Calibri" w:hAnsi="Calibri" w:cs="Calibri"/>
            <w:color w:val="3C5587"/>
            <w:szCs w:val="21"/>
            <w:lang w:val="fr-CH"/>
          </w:rPr>
          <w:t>art. 324a/b CO</w:t>
        </w:r>
      </w:hyperlink>
      <w:r w:rsidRPr="0009793C">
        <w:rPr>
          <w:rFonts w:ascii="Calibri" w:hAnsi="Calibri" w:cs="Calibri"/>
          <w:szCs w:val="21"/>
          <w:lang w:val="fr-CH"/>
        </w:rPr>
        <w:t>. Elle commence le premier jour du 4</w:t>
      </w:r>
      <w:r w:rsidRPr="0009793C">
        <w:rPr>
          <w:rFonts w:ascii="Calibri" w:hAnsi="Calibri" w:cs="Calibri"/>
          <w:szCs w:val="21"/>
          <w:vertAlign w:val="superscript"/>
          <w:lang w:val="fr-CH"/>
        </w:rPr>
        <w:t>e</w:t>
      </w:r>
      <w:r w:rsidRPr="0009793C">
        <w:rPr>
          <w:rFonts w:ascii="Calibri" w:hAnsi="Calibri" w:cs="Calibri"/>
          <w:szCs w:val="21"/>
          <w:lang w:val="fr-CH"/>
        </w:rPr>
        <w:t xml:space="preserve"> mois d’engagement dans le cas d’un contrat à durée indéterminée avec période d’essai. </w:t>
      </w:r>
    </w:p>
    <w:p w14:paraId="67FC016E" w14:textId="7BBCAED0" w:rsidR="006C0EDF" w:rsidRPr="006C0EDF" w:rsidRDefault="006C0EDF" w:rsidP="0009793C">
      <w:pPr>
        <w:pStyle w:val="berschrift2nummeriert"/>
        <w:rPr>
          <w:lang w:val="fr-CH"/>
        </w:rPr>
      </w:pPr>
      <w:r w:rsidRPr="006C0EDF">
        <w:rPr>
          <w:lang w:val="fr-CH"/>
        </w:rPr>
        <w:t>Maternité</w:t>
      </w:r>
    </w:p>
    <w:p w14:paraId="49CFB81F" w14:textId="77777777" w:rsidR="006C0EDF" w:rsidRPr="000A76E7" w:rsidRDefault="006C0EDF"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Il convient de distinguer deux phases: la grossesse, pour laquelle le maintien du salaire est régi par l’art. 324a CO, et la période suivant l’accouchement, pour laquelle les droits sont régis par la loi sur les allocations pour perte de gain (</w:t>
      </w:r>
      <w:hyperlink r:id="rId33" w:history="1">
        <w:r w:rsidRPr="000A76E7">
          <w:rPr>
            <w:rStyle w:val="Hyperlink"/>
            <w:rFonts w:ascii="Calibri" w:hAnsi="Calibri" w:cs="Calibri"/>
            <w:color w:val="3C5587"/>
            <w:szCs w:val="21"/>
            <w:lang w:val="fr-CH"/>
          </w:rPr>
          <w:t>LAPG</w:t>
        </w:r>
      </w:hyperlink>
      <w:r w:rsidRPr="000A76E7">
        <w:rPr>
          <w:rFonts w:ascii="Calibri" w:hAnsi="Calibri" w:cs="Calibri"/>
          <w:szCs w:val="21"/>
          <w:lang w:val="fr-CH"/>
        </w:rPr>
        <w:t xml:space="preserve">). </w:t>
      </w:r>
    </w:p>
    <w:p w14:paraId="40D74AF6" w14:textId="77777777" w:rsidR="006C0EDF" w:rsidRPr="000A76E7" w:rsidRDefault="006C0EDF"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lastRenderedPageBreak/>
        <w:t>Le droit à l’</w:t>
      </w:r>
      <w:hyperlink r:id="rId34" w:anchor="chap_1/lvl_III_a" w:history="1">
        <w:r w:rsidRPr="000A76E7">
          <w:rPr>
            <w:rStyle w:val="Hyperlink"/>
            <w:rFonts w:ascii="Calibri" w:hAnsi="Calibri" w:cs="Calibri"/>
            <w:color w:val="3C5587"/>
            <w:szCs w:val="21"/>
            <w:lang w:val="fr-CH"/>
          </w:rPr>
          <w:t>allocation de maternité</w:t>
        </w:r>
      </w:hyperlink>
      <w:r w:rsidRPr="000A76E7">
        <w:rPr>
          <w:rFonts w:ascii="Calibri" w:hAnsi="Calibri" w:cs="Calibri"/>
          <w:szCs w:val="21"/>
          <w:lang w:val="fr-CH"/>
        </w:rPr>
        <w:t xml:space="preserve"> commence le jour de l’accouchement et se termine au plus tard après 14 semaines, resp. 98 jours. En cas d’hospitalisation prolongée de l’enfant, la mère peut demander à ce que le droit à l’allocation ne commence qu’au retour de l’enfant à la maison. L’allocation de maternité est versée sous forme d’indemnité journalière par la caisse de compensation AVS et s’élève à 80% du revenu moyen de l’activité lucrative exercée avant la naissance, mais au maximum à 196 francs par jour. </w:t>
      </w:r>
    </w:p>
    <w:p w14:paraId="1E63A712" w14:textId="77777777" w:rsidR="006C0EDF" w:rsidRPr="000A76E7" w:rsidRDefault="006C0EDF"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Le droit aux prestations selon la LAPG prend fin avec toute reprise de l’activité lucrative (</w:t>
      </w:r>
      <w:hyperlink r:id="rId35" w:anchor="art_16_d" w:history="1">
        <w:r w:rsidRPr="000A76E7">
          <w:rPr>
            <w:rStyle w:val="Hyperlink"/>
            <w:rFonts w:ascii="Calibri" w:hAnsi="Calibri" w:cs="Calibri"/>
            <w:color w:val="3C5587"/>
            <w:szCs w:val="21"/>
            <w:lang w:val="fr-CH"/>
          </w:rPr>
          <w:t>art. 16d LAPG</w:t>
        </w:r>
      </w:hyperlink>
      <w:r w:rsidRPr="000A76E7">
        <w:rPr>
          <w:rFonts w:ascii="Calibri" w:hAnsi="Calibri" w:cs="Calibri"/>
          <w:szCs w:val="21"/>
          <w:lang w:val="fr-CH"/>
        </w:rPr>
        <w:t>).</w:t>
      </w:r>
    </w:p>
    <w:p w14:paraId="700D1FFF" w14:textId="77777777" w:rsidR="006C0EDF" w:rsidRPr="000A76E7" w:rsidRDefault="006C0EDF"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Si l’employeur a conclu une assurance-maladie d’indemnités journalières, l’employée peut faire valoir auprès de l’assurance la différence entre les 196 francs mentionnés et le droit à l’allocation de l’assurance (80% du salaire assuré). Et ce, pour la durée de la maladie, mais au maximum jusqu’à la fin du congé de maternité. Si l’employée est encore malade après la fin de son congé de maternité, elle a droit à la totalité des indemnités journalières versées par l’assurance d’indemnités journalières.</w:t>
      </w:r>
    </w:p>
    <w:p w14:paraId="42917E43" w14:textId="77777777" w:rsidR="006C0EDF" w:rsidRPr="000A76E7" w:rsidRDefault="006C0EDF"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Tant qu’une allocation de maternité est versée, aucune indemnité journalière de l’assurance-chômage, de l’AI ou de l’assurance-accidents obligatoire ne peut être perçue. Les indemnités journalières de l’assurance d'indemnités journalières en cas de maladie et de l’assurance-accidents obligatoire ne sont pas soumises aux cotisations AVS, contrairement aux allocations pour perte de gain selon la LAPG.</w:t>
      </w:r>
    </w:p>
    <w:p w14:paraId="05AA18FA" w14:textId="53F2DACF" w:rsidR="006C0EDF" w:rsidRPr="004C2122" w:rsidRDefault="006C0EDF"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Les mères allaitantes doivent disposer du temps nécessaire pour allaiter et l’employeur doit mettre à disposition un lieu approprié dans l’entreprise pour autant que l’allaitement s’y déroule (</w:t>
      </w:r>
      <w:hyperlink r:id="rId36" w:anchor="art_34" w:history="1">
        <w:r w:rsidRPr="000A76E7">
          <w:rPr>
            <w:rStyle w:val="Hyperlink"/>
            <w:rFonts w:ascii="Calibri" w:hAnsi="Calibri" w:cs="Calibri"/>
            <w:color w:val="3C5587"/>
            <w:szCs w:val="21"/>
            <w:lang w:val="fr-CH"/>
          </w:rPr>
          <w:t>art. 34 OLT 3</w:t>
        </w:r>
      </w:hyperlink>
      <w:r w:rsidRPr="000A76E7">
        <w:rPr>
          <w:rFonts w:ascii="Calibri" w:hAnsi="Calibri" w:cs="Calibri"/>
          <w:szCs w:val="21"/>
          <w:lang w:val="fr-CH"/>
        </w:rPr>
        <w:t>). Le temps pris pour allaiter ou tirer le lait est comptabilisé comme temps de travail rémunéré dans les limites suivantes: 30 minutes pour une journée de travail jusqu’à 4 heures, 60 minutes pour une journée de travail de plus de 4 heures et 90 minutes pour une journée de travail de plus de 7 heures. Ces dispositions ne concernent que des durées minimales qui doivent être comptabilisées comme temps de travail rémunéré. Indépendamment du fait qu’elle allaite dans l’entreprise ou qu’elle la quitte pour allaiter, l’employée dispose du même temps d’allaitement rémunéré. Si elle quitte son lieu de travail pour allaiter, aucune prolongation du temps d’allaitement rémunéré n’est prévue pour le trajet. Des accords contraires entre l’employeur et l’employée concernée sont toutefois possibles.</w:t>
      </w:r>
    </w:p>
    <w:p w14:paraId="698CE48B" w14:textId="77777777" w:rsidR="006C0EDF" w:rsidRPr="00DB1AB0" w:rsidRDefault="006C0EDF" w:rsidP="00DB1AB0">
      <w:pPr>
        <w:pStyle w:val="berschrift1nummeriert"/>
      </w:pPr>
      <w:r w:rsidRPr="00DB1AB0">
        <w:t>Annulation du contrat</w:t>
      </w:r>
    </w:p>
    <w:p w14:paraId="5D288B66" w14:textId="77777777" w:rsidR="006C0EDF" w:rsidRPr="00DB1AB0" w:rsidRDefault="006C0EDF" w:rsidP="006E13EE">
      <w:pPr>
        <w:tabs>
          <w:tab w:val="left" w:pos="4560"/>
        </w:tabs>
        <w:spacing w:after="140" w:line="300" w:lineRule="atLeast"/>
        <w:ind w:right="680"/>
        <w:rPr>
          <w:rFonts w:ascii="Calibri" w:hAnsi="Calibri" w:cs="Calibri"/>
          <w:szCs w:val="21"/>
          <w:lang w:val="fr-CH"/>
        </w:rPr>
      </w:pPr>
      <w:r w:rsidRPr="00DB1AB0">
        <w:rPr>
          <w:rFonts w:ascii="Calibri" w:hAnsi="Calibri" w:cs="Calibri"/>
          <w:szCs w:val="21"/>
          <w:lang w:val="fr-CH"/>
        </w:rPr>
        <w:t>Après la période d’essai, l’employeur ne peut notamment pas résilier le contrat, conformément à l’</w:t>
      </w:r>
      <w:hyperlink r:id="rId37" w:anchor="art_336_c" w:history="1">
        <w:r w:rsidRPr="00DB1AB0">
          <w:rPr>
            <w:rStyle w:val="Hyperlink"/>
            <w:rFonts w:ascii="Calibri" w:hAnsi="Calibri" w:cs="Calibri"/>
            <w:color w:val="3C5587"/>
            <w:szCs w:val="21"/>
            <w:lang w:val="fr-CH"/>
          </w:rPr>
          <w:t>art. 336c CO</w:t>
        </w:r>
      </w:hyperlink>
      <w:r w:rsidRPr="00DB1AB0">
        <w:rPr>
          <w:rFonts w:ascii="Calibri" w:hAnsi="Calibri" w:cs="Calibri"/>
          <w:szCs w:val="21"/>
          <w:lang w:val="fr-CH"/>
        </w:rPr>
        <w:t>:</w:t>
      </w:r>
    </w:p>
    <w:p w14:paraId="7778BF43" w14:textId="4C21ACA4" w:rsidR="006C0EDF" w:rsidRPr="00BF4A0E" w:rsidRDefault="006C0EDF" w:rsidP="006E13EE">
      <w:pPr>
        <w:pStyle w:val="Aufzhlung1"/>
        <w:numPr>
          <w:ilvl w:val="0"/>
          <w:numId w:val="6"/>
        </w:numPr>
        <w:ind w:left="369" w:hanging="369"/>
        <w:rPr>
          <w:rFonts w:ascii="Calibri" w:hAnsi="Calibri" w:cs="Calibri"/>
          <w:szCs w:val="21"/>
          <w:lang w:val="fr-CH"/>
        </w:rPr>
      </w:pPr>
      <w:r w:rsidRPr="00BF4A0E">
        <w:rPr>
          <w:rFonts w:ascii="Calibri" w:hAnsi="Calibri" w:cs="Calibri"/>
          <w:szCs w:val="21"/>
          <w:lang w:val="fr-CH"/>
        </w:rPr>
        <w:t>pendant une incapacité de travail totale ou partielle résultant d’une maladie ou d’un accident non imputables à la faute de l’employée, et cela, durant 30 jours au cours de la première année de service, durant 90 jours de la deuxième à la cinquième année de service et durant 180 jours à partir de la sixième année de service;</w:t>
      </w:r>
    </w:p>
    <w:p w14:paraId="6E4E6D2A" w14:textId="595A9680" w:rsidR="006C0EDF" w:rsidRPr="00DB1AB0" w:rsidRDefault="006C0EDF" w:rsidP="006E13EE">
      <w:pPr>
        <w:pStyle w:val="Aufzhlung1"/>
        <w:numPr>
          <w:ilvl w:val="0"/>
          <w:numId w:val="6"/>
        </w:numPr>
        <w:ind w:left="369" w:hanging="369"/>
        <w:rPr>
          <w:rFonts w:ascii="Calibri" w:hAnsi="Calibri" w:cs="Calibri"/>
          <w:szCs w:val="21"/>
          <w:lang w:val="fr-CH"/>
        </w:rPr>
      </w:pPr>
      <w:r w:rsidRPr="00DB1AB0">
        <w:rPr>
          <w:rFonts w:ascii="Calibri" w:hAnsi="Calibri" w:cs="Calibri"/>
          <w:szCs w:val="21"/>
          <w:lang w:val="fr-CH"/>
        </w:rPr>
        <w:t>pendant la grossesse et au cours des seize semaines qui suivent l’accouchement.</w:t>
      </w:r>
    </w:p>
    <w:p w14:paraId="5CED19F4" w14:textId="0ABACAB3" w:rsidR="006C0EDF" w:rsidRPr="00AB644A" w:rsidRDefault="006C0EDF" w:rsidP="006E13EE">
      <w:pPr>
        <w:tabs>
          <w:tab w:val="left" w:pos="4560"/>
        </w:tabs>
        <w:spacing w:after="140" w:line="300" w:lineRule="atLeast"/>
        <w:ind w:right="680"/>
        <w:rPr>
          <w:rFonts w:ascii="Calibri" w:hAnsi="Calibri" w:cs="Calibri"/>
          <w:szCs w:val="21"/>
          <w:lang w:val="fr-CH"/>
        </w:rPr>
      </w:pPr>
      <w:r w:rsidRPr="00DB1AB0">
        <w:rPr>
          <w:rFonts w:ascii="Calibri" w:hAnsi="Calibri" w:cs="Calibri"/>
          <w:szCs w:val="21"/>
          <w:lang w:val="fr-CH"/>
        </w:rPr>
        <w:t>La résiliation immédiate du contrat pour de justes motifs, conformément à l’</w:t>
      </w:r>
      <w:hyperlink r:id="rId38" w:anchor="art_337" w:history="1">
        <w:r w:rsidRPr="00DB1AB0">
          <w:rPr>
            <w:rStyle w:val="Hyperlink"/>
            <w:rFonts w:ascii="Calibri" w:hAnsi="Calibri" w:cs="Calibri"/>
            <w:color w:val="3C5587"/>
            <w:szCs w:val="21"/>
            <w:lang w:val="fr-CH"/>
          </w:rPr>
          <w:t>art. 337 CO</w:t>
        </w:r>
      </w:hyperlink>
      <w:r w:rsidRPr="00DB1AB0">
        <w:rPr>
          <w:rFonts w:ascii="Calibri" w:hAnsi="Calibri" w:cs="Calibri"/>
          <w:szCs w:val="21"/>
          <w:lang w:val="fr-CH"/>
        </w:rPr>
        <w:t xml:space="preserve"> reste réservée aux deux parties pendant toute la durée du service.</w:t>
      </w:r>
    </w:p>
    <w:p w14:paraId="0F097FA2" w14:textId="77777777" w:rsidR="006C0EDF" w:rsidRPr="006C0EDF" w:rsidRDefault="006C0EDF" w:rsidP="006E13EE">
      <w:pPr>
        <w:pStyle w:val="Listenabsatz"/>
        <w:tabs>
          <w:tab w:val="left" w:pos="4560"/>
        </w:tabs>
        <w:spacing w:after="240"/>
        <w:ind w:left="425" w:right="680"/>
        <w:contextualSpacing w:val="0"/>
        <w:rPr>
          <w:rFonts w:ascii="Calibri" w:hAnsi="Calibri" w:cs="Calibri"/>
          <w:szCs w:val="21"/>
          <w:lang w:val="fr-CH"/>
        </w:rPr>
      </w:pPr>
    </w:p>
    <w:p w14:paraId="07B9473C" w14:textId="1AF05DCA" w:rsidR="006C0EDF" w:rsidRPr="00B23ECD" w:rsidRDefault="006C0EDF" w:rsidP="006E13EE">
      <w:pPr>
        <w:tabs>
          <w:tab w:val="left" w:pos="600"/>
          <w:tab w:val="left" w:pos="2410"/>
        </w:tabs>
        <w:spacing w:after="240"/>
        <w:ind w:right="680"/>
        <w:rPr>
          <w:rFonts w:ascii="Calibri" w:hAnsi="Calibri" w:cs="Calibri"/>
          <w:szCs w:val="21"/>
        </w:rPr>
      </w:pPr>
      <w:r w:rsidRPr="009024F5">
        <w:rPr>
          <w:rFonts w:ascii="Calibri" w:hAnsi="Calibri" w:cs="Calibri"/>
          <w:szCs w:val="21"/>
        </w:rPr>
        <w:t xml:space="preserve">Lieu et date: </w:t>
      </w:r>
      <w:r w:rsidRPr="009024F5">
        <w:rPr>
          <w:rFonts w:ascii="Calibri" w:hAnsi="Calibri" w:cs="Calibri"/>
          <w:szCs w:val="21"/>
        </w:rPr>
        <w:tab/>
        <w:t>___________________________</w:t>
      </w:r>
    </w:p>
    <w:p w14:paraId="69EE717B" w14:textId="77777777" w:rsidR="006C0EDF" w:rsidRPr="009024F5" w:rsidRDefault="006C0EDF" w:rsidP="006E13EE">
      <w:pPr>
        <w:pStyle w:val="Listenabsatz"/>
        <w:tabs>
          <w:tab w:val="left" w:pos="4560"/>
        </w:tabs>
        <w:spacing w:after="240"/>
        <w:ind w:left="425" w:right="680"/>
        <w:contextualSpacing w:val="0"/>
        <w:rPr>
          <w:rFonts w:ascii="Calibri" w:hAnsi="Calibri" w:cs="Calibri"/>
          <w:szCs w:val="21"/>
        </w:rPr>
      </w:pPr>
    </w:p>
    <w:p w14:paraId="6E44524D" w14:textId="2BA65434" w:rsidR="00107F09" w:rsidRPr="00041CBC" w:rsidRDefault="006C0EDF" w:rsidP="006E13EE">
      <w:pPr>
        <w:tabs>
          <w:tab w:val="left" w:pos="2410"/>
          <w:tab w:val="right" w:pos="5245"/>
        </w:tabs>
      </w:pPr>
      <w:r w:rsidRPr="009024F5">
        <w:rPr>
          <w:rFonts w:ascii="Calibri" w:hAnsi="Calibri" w:cs="Calibri"/>
          <w:szCs w:val="21"/>
        </w:rPr>
        <w:t>L’employée:</w:t>
      </w:r>
      <w:r>
        <w:rPr>
          <w:rFonts w:ascii="Calibri" w:hAnsi="Calibri" w:cs="Calibri"/>
          <w:szCs w:val="21"/>
        </w:rPr>
        <w:tab/>
      </w:r>
      <w:r w:rsidRPr="009024F5">
        <w:rPr>
          <w:rFonts w:ascii="Calibri" w:hAnsi="Calibri" w:cs="Calibri"/>
          <w:szCs w:val="21"/>
        </w:rPr>
        <w:t>______________</w:t>
      </w:r>
      <w:r w:rsidR="00313EA2">
        <w:tab/>
      </w:r>
      <w:r w:rsidR="00313EA2" w:rsidRPr="00181525">
        <w:t>_____________</w:t>
      </w:r>
    </w:p>
    <w:sectPr w:rsidR="00107F09" w:rsidRPr="00041CBC" w:rsidSect="005C3071">
      <w:headerReference w:type="default" r:id="rId39"/>
      <w:pgSz w:w="11906" w:h="16838"/>
      <w:pgMar w:top="1418" w:right="907" w:bottom="1134" w:left="1418" w:header="59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A69D" w14:textId="77777777" w:rsidR="007924B8" w:rsidRDefault="007924B8" w:rsidP="00F91D37">
      <w:pPr>
        <w:spacing w:line="240" w:lineRule="auto"/>
      </w:pPr>
      <w:r>
        <w:separator/>
      </w:r>
    </w:p>
  </w:endnote>
  <w:endnote w:type="continuationSeparator" w:id="0">
    <w:p w14:paraId="1A57A77A" w14:textId="77777777" w:rsidR="007924B8" w:rsidRDefault="007924B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46F7" w14:textId="77777777" w:rsidR="007924B8" w:rsidRDefault="007924B8" w:rsidP="00F91D37">
      <w:pPr>
        <w:spacing w:line="240" w:lineRule="auto"/>
      </w:pPr>
      <w:r>
        <w:separator/>
      </w:r>
    </w:p>
  </w:footnote>
  <w:footnote w:type="continuationSeparator" w:id="0">
    <w:p w14:paraId="017A2073" w14:textId="77777777" w:rsidR="007924B8" w:rsidRDefault="007924B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18DD" w14:textId="77777777" w:rsidR="00D8073A" w:rsidRPr="00D00E26" w:rsidRDefault="00D8073A" w:rsidP="00D00E26"/>
  <w:p w14:paraId="551BD0A4" w14:textId="77777777" w:rsidR="00675043" w:rsidRPr="00F67584" w:rsidRDefault="00675043" w:rsidP="00D71E08">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7F2C43"/>
    <w:multiLevelType w:val="hybridMultilevel"/>
    <w:tmpl w:val="8F10C9A8"/>
    <w:lvl w:ilvl="0" w:tplc="0807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C0D46FD"/>
    <w:multiLevelType w:val="multilevel"/>
    <w:tmpl w:val="23B406D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Paragraph"/>
      <w:lvlText w:val="%8"/>
      <w:lvlJc w:val="left"/>
      <w:pPr>
        <w:tabs>
          <w:tab w:val="num" w:pos="851"/>
        </w:tabs>
        <w:ind w:left="369" w:hanging="369"/>
      </w:pPr>
      <w:rPr>
        <w:rFonts w:hint="default"/>
        <w:vertAlign w:val="superscript"/>
      </w:rPr>
    </w:lvl>
    <w:lvl w:ilvl="8">
      <w:start w:val="1"/>
      <w:numFmt w:val="lowerLetter"/>
      <w:pStyle w:val="Nummerierungabc"/>
      <w:lvlText w:val="%9."/>
      <w:lvlJc w:val="left"/>
      <w:pPr>
        <w:ind w:left="425" w:hanging="425"/>
      </w:pPr>
      <w:rPr>
        <w:rFont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D74B8D"/>
    <w:multiLevelType w:val="hybridMultilevel"/>
    <w:tmpl w:val="5A0CD6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73302016">
    <w:abstractNumId w:val="4"/>
  </w:num>
  <w:num w:numId="2" w16cid:durableId="1917132540">
    <w:abstractNumId w:val="2"/>
  </w:num>
  <w:num w:numId="3" w16cid:durableId="1261376048">
    <w:abstractNumId w:val="3"/>
  </w:num>
  <w:num w:numId="4" w16cid:durableId="879706707">
    <w:abstractNumId w:val="0"/>
  </w:num>
  <w:num w:numId="5" w16cid:durableId="1327787206">
    <w:abstractNumId w:val="1"/>
  </w:num>
  <w:num w:numId="6" w16cid:durableId="210313769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proofState w:spelling="clean"/>
  <w:attachedTemplate r:id="rId1"/>
  <w:documentProtection w:edit="forms" w:enforcement="1" w:cryptProviderType="rsaAES" w:cryptAlgorithmClass="hash" w:cryptAlgorithmType="typeAny" w:cryptAlgorithmSid="14" w:cryptSpinCount="100000" w:hash="u4hc7Wntkzm0j/2CaRhXQot2LjJSaGmuT3c4Pyvs0RoEHFAuZUgNs25YUlKxdgyjtuGtPynmH12zVaA0Nkb0LA==" w:salt="G7sy83ffrLkVzn9GKJuzhQ=="/>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3B"/>
    <w:rsid w:val="0000173D"/>
    <w:rsid w:val="00002978"/>
    <w:rsid w:val="000030AC"/>
    <w:rsid w:val="00003DA1"/>
    <w:rsid w:val="00003F7A"/>
    <w:rsid w:val="0001010F"/>
    <w:rsid w:val="00017A52"/>
    <w:rsid w:val="0002384D"/>
    <w:rsid w:val="00025CEC"/>
    <w:rsid w:val="000266B7"/>
    <w:rsid w:val="0003006E"/>
    <w:rsid w:val="00032B92"/>
    <w:rsid w:val="000351D9"/>
    <w:rsid w:val="00036125"/>
    <w:rsid w:val="0004026D"/>
    <w:rsid w:val="000407E6"/>
    <w:rsid w:val="000409C8"/>
    <w:rsid w:val="00041700"/>
    <w:rsid w:val="00041CBC"/>
    <w:rsid w:val="000431BC"/>
    <w:rsid w:val="000447F6"/>
    <w:rsid w:val="00045BC1"/>
    <w:rsid w:val="00055337"/>
    <w:rsid w:val="00057C2B"/>
    <w:rsid w:val="00063BC2"/>
    <w:rsid w:val="000701F1"/>
    <w:rsid w:val="00071780"/>
    <w:rsid w:val="000803EB"/>
    <w:rsid w:val="00087BFF"/>
    <w:rsid w:val="00091D39"/>
    <w:rsid w:val="00096E8E"/>
    <w:rsid w:val="0009793C"/>
    <w:rsid w:val="000A05A2"/>
    <w:rsid w:val="000A1884"/>
    <w:rsid w:val="000A24EC"/>
    <w:rsid w:val="000A76E7"/>
    <w:rsid w:val="000B0FE4"/>
    <w:rsid w:val="000B183F"/>
    <w:rsid w:val="000B4D69"/>
    <w:rsid w:val="000B595D"/>
    <w:rsid w:val="000B768B"/>
    <w:rsid w:val="000C1C46"/>
    <w:rsid w:val="000C2354"/>
    <w:rsid w:val="000C312F"/>
    <w:rsid w:val="000C3CAF"/>
    <w:rsid w:val="000C49C1"/>
    <w:rsid w:val="000C57A1"/>
    <w:rsid w:val="000C58C1"/>
    <w:rsid w:val="000C7A4D"/>
    <w:rsid w:val="000D0342"/>
    <w:rsid w:val="000D1743"/>
    <w:rsid w:val="000D1BB6"/>
    <w:rsid w:val="000D70A6"/>
    <w:rsid w:val="000E4AA7"/>
    <w:rsid w:val="000E7543"/>
    <w:rsid w:val="000E756F"/>
    <w:rsid w:val="000F1D2B"/>
    <w:rsid w:val="000F2040"/>
    <w:rsid w:val="000F5B60"/>
    <w:rsid w:val="0010021F"/>
    <w:rsid w:val="00101274"/>
    <w:rsid w:val="0010128A"/>
    <w:rsid w:val="00102345"/>
    <w:rsid w:val="001031C5"/>
    <w:rsid w:val="00106688"/>
    <w:rsid w:val="00107F09"/>
    <w:rsid w:val="001125FB"/>
    <w:rsid w:val="001134C7"/>
    <w:rsid w:val="00113CB8"/>
    <w:rsid w:val="00113D72"/>
    <w:rsid w:val="0012151C"/>
    <w:rsid w:val="00122AF8"/>
    <w:rsid w:val="00122CF0"/>
    <w:rsid w:val="00127438"/>
    <w:rsid w:val="00127BBA"/>
    <w:rsid w:val="00133CFB"/>
    <w:rsid w:val="00134A79"/>
    <w:rsid w:val="001375AB"/>
    <w:rsid w:val="00137C24"/>
    <w:rsid w:val="00140416"/>
    <w:rsid w:val="00144122"/>
    <w:rsid w:val="00147819"/>
    <w:rsid w:val="00151562"/>
    <w:rsid w:val="00152BAC"/>
    <w:rsid w:val="00153E06"/>
    <w:rsid w:val="00154677"/>
    <w:rsid w:val="00160D98"/>
    <w:rsid w:val="00161E7D"/>
    <w:rsid w:val="00167893"/>
    <w:rsid w:val="00167916"/>
    <w:rsid w:val="00171870"/>
    <w:rsid w:val="00172D63"/>
    <w:rsid w:val="00174964"/>
    <w:rsid w:val="00174D0B"/>
    <w:rsid w:val="00176F08"/>
    <w:rsid w:val="001808BD"/>
    <w:rsid w:val="001916BB"/>
    <w:rsid w:val="001A3606"/>
    <w:rsid w:val="001A4289"/>
    <w:rsid w:val="001A516F"/>
    <w:rsid w:val="001B4989"/>
    <w:rsid w:val="001B63C9"/>
    <w:rsid w:val="001B6F25"/>
    <w:rsid w:val="001C2DD9"/>
    <w:rsid w:val="001D242B"/>
    <w:rsid w:val="001E56D3"/>
    <w:rsid w:val="001E73F4"/>
    <w:rsid w:val="001F1C26"/>
    <w:rsid w:val="001F23F8"/>
    <w:rsid w:val="001F3FF8"/>
    <w:rsid w:val="001F4A7E"/>
    <w:rsid w:val="001F4B8C"/>
    <w:rsid w:val="001F6924"/>
    <w:rsid w:val="00202CDE"/>
    <w:rsid w:val="00204740"/>
    <w:rsid w:val="002067C8"/>
    <w:rsid w:val="002069A4"/>
    <w:rsid w:val="0021130E"/>
    <w:rsid w:val="002170BB"/>
    <w:rsid w:val="00217EB5"/>
    <w:rsid w:val="0022685B"/>
    <w:rsid w:val="0023018C"/>
    <w:rsid w:val="0023205B"/>
    <w:rsid w:val="00240992"/>
    <w:rsid w:val="00242E66"/>
    <w:rsid w:val="00245BBA"/>
    <w:rsid w:val="002466D7"/>
    <w:rsid w:val="00253D74"/>
    <w:rsid w:val="00256434"/>
    <w:rsid w:val="0025644A"/>
    <w:rsid w:val="00263DBD"/>
    <w:rsid w:val="00267210"/>
    <w:rsid w:val="00267F71"/>
    <w:rsid w:val="002726D9"/>
    <w:rsid w:val="002774E3"/>
    <w:rsid w:val="00280EB5"/>
    <w:rsid w:val="002824AA"/>
    <w:rsid w:val="00283995"/>
    <w:rsid w:val="002876AB"/>
    <w:rsid w:val="00290E37"/>
    <w:rsid w:val="00292375"/>
    <w:rsid w:val="00292499"/>
    <w:rsid w:val="002A3D8D"/>
    <w:rsid w:val="002B03EC"/>
    <w:rsid w:val="002B551B"/>
    <w:rsid w:val="002C163B"/>
    <w:rsid w:val="002C3F18"/>
    <w:rsid w:val="002C4C12"/>
    <w:rsid w:val="002C4D2A"/>
    <w:rsid w:val="002D272F"/>
    <w:rsid w:val="002D38AE"/>
    <w:rsid w:val="002D54E3"/>
    <w:rsid w:val="002F06AA"/>
    <w:rsid w:val="002F374E"/>
    <w:rsid w:val="002F68A2"/>
    <w:rsid w:val="00301650"/>
    <w:rsid w:val="0030245A"/>
    <w:rsid w:val="00303B73"/>
    <w:rsid w:val="0030750D"/>
    <w:rsid w:val="00313EA2"/>
    <w:rsid w:val="00315C83"/>
    <w:rsid w:val="00315D94"/>
    <w:rsid w:val="003163AE"/>
    <w:rsid w:val="0032330D"/>
    <w:rsid w:val="0032384A"/>
    <w:rsid w:val="00326142"/>
    <w:rsid w:val="00326248"/>
    <w:rsid w:val="00333A1B"/>
    <w:rsid w:val="0034630A"/>
    <w:rsid w:val="003514EE"/>
    <w:rsid w:val="003631C3"/>
    <w:rsid w:val="00363671"/>
    <w:rsid w:val="00364EE3"/>
    <w:rsid w:val="00366EED"/>
    <w:rsid w:val="00372BB3"/>
    <w:rsid w:val="003731DC"/>
    <w:rsid w:val="003757E4"/>
    <w:rsid w:val="00375834"/>
    <w:rsid w:val="00375A67"/>
    <w:rsid w:val="003814E8"/>
    <w:rsid w:val="003815F3"/>
    <w:rsid w:val="00381841"/>
    <w:rsid w:val="00381E21"/>
    <w:rsid w:val="0039124E"/>
    <w:rsid w:val="00394BDB"/>
    <w:rsid w:val="00395676"/>
    <w:rsid w:val="00396421"/>
    <w:rsid w:val="003A17C1"/>
    <w:rsid w:val="003A1AE1"/>
    <w:rsid w:val="003B7D8D"/>
    <w:rsid w:val="003C3D32"/>
    <w:rsid w:val="003C3E66"/>
    <w:rsid w:val="003C6F2E"/>
    <w:rsid w:val="003D0FAA"/>
    <w:rsid w:val="003D537D"/>
    <w:rsid w:val="003E36E7"/>
    <w:rsid w:val="003F1A56"/>
    <w:rsid w:val="00400440"/>
    <w:rsid w:val="004011E5"/>
    <w:rsid w:val="00406C53"/>
    <w:rsid w:val="00410F03"/>
    <w:rsid w:val="00412076"/>
    <w:rsid w:val="004149DF"/>
    <w:rsid w:val="00415340"/>
    <w:rsid w:val="0043127F"/>
    <w:rsid w:val="004357EA"/>
    <w:rsid w:val="004372F1"/>
    <w:rsid w:val="00446EF9"/>
    <w:rsid w:val="0045044B"/>
    <w:rsid w:val="004521FA"/>
    <w:rsid w:val="00452D49"/>
    <w:rsid w:val="00454AE0"/>
    <w:rsid w:val="004607AE"/>
    <w:rsid w:val="00472A17"/>
    <w:rsid w:val="00480603"/>
    <w:rsid w:val="00486DBB"/>
    <w:rsid w:val="00494FD7"/>
    <w:rsid w:val="00495F83"/>
    <w:rsid w:val="004A039B"/>
    <w:rsid w:val="004B0FDB"/>
    <w:rsid w:val="004C1329"/>
    <w:rsid w:val="004C2122"/>
    <w:rsid w:val="004C3880"/>
    <w:rsid w:val="004D0F2F"/>
    <w:rsid w:val="004D179F"/>
    <w:rsid w:val="004D5B31"/>
    <w:rsid w:val="004E403C"/>
    <w:rsid w:val="004E6105"/>
    <w:rsid w:val="004F1861"/>
    <w:rsid w:val="004F22CB"/>
    <w:rsid w:val="004F6D21"/>
    <w:rsid w:val="004F75BC"/>
    <w:rsid w:val="00500294"/>
    <w:rsid w:val="00500C5A"/>
    <w:rsid w:val="00505DEE"/>
    <w:rsid w:val="00513510"/>
    <w:rsid w:val="005175AE"/>
    <w:rsid w:val="00517B5B"/>
    <w:rsid w:val="00517F36"/>
    <w:rsid w:val="00520138"/>
    <w:rsid w:val="00522B74"/>
    <w:rsid w:val="00523918"/>
    <w:rsid w:val="00524169"/>
    <w:rsid w:val="00526C93"/>
    <w:rsid w:val="00527DCD"/>
    <w:rsid w:val="005339AE"/>
    <w:rsid w:val="005354D4"/>
    <w:rsid w:val="00535EA2"/>
    <w:rsid w:val="00537410"/>
    <w:rsid w:val="00550787"/>
    <w:rsid w:val="00553178"/>
    <w:rsid w:val="00562128"/>
    <w:rsid w:val="00562AC0"/>
    <w:rsid w:val="00565CC0"/>
    <w:rsid w:val="0056739E"/>
    <w:rsid w:val="005778FF"/>
    <w:rsid w:val="00591832"/>
    <w:rsid w:val="00592841"/>
    <w:rsid w:val="005938E2"/>
    <w:rsid w:val="005A2328"/>
    <w:rsid w:val="005A357F"/>
    <w:rsid w:val="005A4ABF"/>
    <w:rsid w:val="005A7BE5"/>
    <w:rsid w:val="005B0153"/>
    <w:rsid w:val="005B0EA8"/>
    <w:rsid w:val="005B4DEC"/>
    <w:rsid w:val="005B5CA1"/>
    <w:rsid w:val="005B6FD0"/>
    <w:rsid w:val="005B781C"/>
    <w:rsid w:val="005C3071"/>
    <w:rsid w:val="005C3242"/>
    <w:rsid w:val="005C6148"/>
    <w:rsid w:val="005D6994"/>
    <w:rsid w:val="005D710A"/>
    <w:rsid w:val="005E11F2"/>
    <w:rsid w:val="005E1447"/>
    <w:rsid w:val="005E41DF"/>
    <w:rsid w:val="005E4F4A"/>
    <w:rsid w:val="005F0A50"/>
    <w:rsid w:val="00600C5F"/>
    <w:rsid w:val="00603833"/>
    <w:rsid w:val="006044D5"/>
    <w:rsid w:val="00615803"/>
    <w:rsid w:val="00622481"/>
    <w:rsid w:val="00622918"/>
    <w:rsid w:val="00622CA5"/>
    <w:rsid w:val="00622FDC"/>
    <w:rsid w:val="00623DD0"/>
    <w:rsid w:val="00625020"/>
    <w:rsid w:val="0062729F"/>
    <w:rsid w:val="00642F26"/>
    <w:rsid w:val="00647793"/>
    <w:rsid w:val="00647B77"/>
    <w:rsid w:val="0065274C"/>
    <w:rsid w:val="0066365B"/>
    <w:rsid w:val="00665AA4"/>
    <w:rsid w:val="00667D20"/>
    <w:rsid w:val="00671F40"/>
    <w:rsid w:val="00675043"/>
    <w:rsid w:val="0068307A"/>
    <w:rsid w:val="006858E6"/>
    <w:rsid w:val="0068649B"/>
    <w:rsid w:val="00686D14"/>
    <w:rsid w:val="00687ED7"/>
    <w:rsid w:val="00695AF7"/>
    <w:rsid w:val="00697242"/>
    <w:rsid w:val="006A0BC4"/>
    <w:rsid w:val="006A750B"/>
    <w:rsid w:val="006B3083"/>
    <w:rsid w:val="006B6DCE"/>
    <w:rsid w:val="006C0EDF"/>
    <w:rsid w:val="006C144C"/>
    <w:rsid w:val="006C3549"/>
    <w:rsid w:val="006C62E1"/>
    <w:rsid w:val="006D1056"/>
    <w:rsid w:val="006E08B4"/>
    <w:rsid w:val="006E0F4E"/>
    <w:rsid w:val="006E13EE"/>
    <w:rsid w:val="006E4AF1"/>
    <w:rsid w:val="006F0345"/>
    <w:rsid w:val="006F0469"/>
    <w:rsid w:val="006F4555"/>
    <w:rsid w:val="006F667E"/>
    <w:rsid w:val="00701522"/>
    <w:rsid w:val="00703B85"/>
    <w:rsid w:val="007040B6"/>
    <w:rsid w:val="00705076"/>
    <w:rsid w:val="007077BE"/>
    <w:rsid w:val="00711147"/>
    <w:rsid w:val="00713BA2"/>
    <w:rsid w:val="007177D4"/>
    <w:rsid w:val="007277E3"/>
    <w:rsid w:val="00731A17"/>
    <w:rsid w:val="00734458"/>
    <w:rsid w:val="007344EA"/>
    <w:rsid w:val="007419CF"/>
    <w:rsid w:val="0074241C"/>
    <w:rsid w:val="0074487E"/>
    <w:rsid w:val="00746273"/>
    <w:rsid w:val="00747A73"/>
    <w:rsid w:val="007513ED"/>
    <w:rsid w:val="007531D8"/>
    <w:rsid w:val="0075366F"/>
    <w:rsid w:val="00753A1F"/>
    <w:rsid w:val="00760FF7"/>
    <w:rsid w:val="007721BF"/>
    <w:rsid w:val="007746E8"/>
    <w:rsid w:val="00774E70"/>
    <w:rsid w:val="00777EC2"/>
    <w:rsid w:val="0078181E"/>
    <w:rsid w:val="00781BEA"/>
    <w:rsid w:val="007924B8"/>
    <w:rsid w:val="00796CEE"/>
    <w:rsid w:val="007A7F7E"/>
    <w:rsid w:val="007B2FAE"/>
    <w:rsid w:val="007B5396"/>
    <w:rsid w:val="007C0B2A"/>
    <w:rsid w:val="007D274E"/>
    <w:rsid w:val="007D278A"/>
    <w:rsid w:val="007D4F1A"/>
    <w:rsid w:val="007E0460"/>
    <w:rsid w:val="007E77D0"/>
    <w:rsid w:val="007F68A4"/>
    <w:rsid w:val="007F7732"/>
    <w:rsid w:val="007F7C08"/>
    <w:rsid w:val="0081169C"/>
    <w:rsid w:val="00812EC3"/>
    <w:rsid w:val="00814067"/>
    <w:rsid w:val="00816D27"/>
    <w:rsid w:val="00836EA4"/>
    <w:rsid w:val="00840F4D"/>
    <w:rsid w:val="00841B44"/>
    <w:rsid w:val="00853121"/>
    <w:rsid w:val="0085454F"/>
    <w:rsid w:val="00857D8A"/>
    <w:rsid w:val="008613A3"/>
    <w:rsid w:val="00864855"/>
    <w:rsid w:val="00870011"/>
    <w:rsid w:val="00870017"/>
    <w:rsid w:val="00874E49"/>
    <w:rsid w:val="00876898"/>
    <w:rsid w:val="00883CC4"/>
    <w:rsid w:val="008861A7"/>
    <w:rsid w:val="008944A3"/>
    <w:rsid w:val="008B09D1"/>
    <w:rsid w:val="008B6F13"/>
    <w:rsid w:val="008C2CBD"/>
    <w:rsid w:val="008D11C9"/>
    <w:rsid w:val="008E2329"/>
    <w:rsid w:val="008F30A7"/>
    <w:rsid w:val="009030EE"/>
    <w:rsid w:val="009031C9"/>
    <w:rsid w:val="00913A96"/>
    <w:rsid w:val="009141F1"/>
    <w:rsid w:val="009146FF"/>
    <w:rsid w:val="00922610"/>
    <w:rsid w:val="009235A2"/>
    <w:rsid w:val="0092539E"/>
    <w:rsid w:val="0093619F"/>
    <w:rsid w:val="0094042F"/>
    <w:rsid w:val="009427E5"/>
    <w:rsid w:val="00943680"/>
    <w:rsid w:val="009454B7"/>
    <w:rsid w:val="00957B51"/>
    <w:rsid w:val="009613D8"/>
    <w:rsid w:val="00965A55"/>
    <w:rsid w:val="00971A82"/>
    <w:rsid w:val="00974275"/>
    <w:rsid w:val="00974BB1"/>
    <w:rsid w:val="009804FC"/>
    <w:rsid w:val="009813C6"/>
    <w:rsid w:val="00983A5A"/>
    <w:rsid w:val="0098474B"/>
    <w:rsid w:val="00991313"/>
    <w:rsid w:val="00995CBA"/>
    <w:rsid w:val="0099678C"/>
    <w:rsid w:val="009A1334"/>
    <w:rsid w:val="009A296E"/>
    <w:rsid w:val="009B0C96"/>
    <w:rsid w:val="009B5554"/>
    <w:rsid w:val="009B66AA"/>
    <w:rsid w:val="009C222B"/>
    <w:rsid w:val="009C264F"/>
    <w:rsid w:val="009C46CA"/>
    <w:rsid w:val="009C67A8"/>
    <w:rsid w:val="009C67D7"/>
    <w:rsid w:val="009D000C"/>
    <w:rsid w:val="009D201B"/>
    <w:rsid w:val="009D5D9C"/>
    <w:rsid w:val="009E2171"/>
    <w:rsid w:val="009E361A"/>
    <w:rsid w:val="009E6E50"/>
    <w:rsid w:val="009F3E6A"/>
    <w:rsid w:val="009F4956"/>
    <w:rsid w:val="00A02378"/>
    <w:rsid w:val="00A0579F"/>
    <w:rsid w:val="00A05A4B"/>
    <w:rsid w:val="00A06F53"/>
    <w:rsid w:val="00A1625B"/>
    <w:rsid w:val="00A16E78"/>
    <w:rsid w:val="00A211F7"/>
    <w:rsid w:val="00A22C40"/>
    <w:rsid w:val="00A26FA4"/>
    <w:rsid w:val="00A31819"/>
    <w:rsid w:val="00A33CD5"/>
    <w:rsid w:val="00A34A38"/>
    <w:rsid w:val="00A352EC"/>
    <w:rsid w:val="00A43EDD"/>
    <w:rsid w:val="00A43F4E"/>
    <w:rsid w:val="00A44F87"/>
    <w:rsid w:val="00A50EF6"/>
    <w:rsid w:val="00A5451D"/>
    <w:rsid w:val="00A5595A"/>
    <w:rsid w:val="00A55C83"/>
    <w:rsid w:val="00A56E11"/>
    <w:rsid w:val="00A57815"/>
    <w:rsid w:val="00A60CD2"/>
    <w:rsid w:val="00A62F82"/>
    <w:rsid w:val="00A62FAD"/>
    <w:rsid w:val="00A648DA"/>
    <w:rsid w:val="00A70CDC"/>
    <w:rsid w:val="00A7133D"/>
    <w:rsid w:val="00A7788C"/>
    <w:rsid w:val="00A84C28"/>
    <w:rsid w:val="00A86B4D"/>
    <w:rsid w:val="00A875C8"/>
    <w:rsid w:val="00A90AB0"/>
    <w:rsid w:val="00A960B8"/>
    <w:rsid w:val="00A96CFE"/>
    <w:rsid w:val="00AA0F3A"/>
    <w:rsid w:val="00AA2AF6"/>
    <w:rsid w:val="00AA5DDC"/>
    <w:rsid w:val="00AB02A0"/>
    <w:rsid w:val="00AB605E"/>
    <w:rsid w:val="00AB644A"/>
    <w:rsid w:val="00AB7F89"/>
    <w:rsid w:val="00AC2A87"/>
    <w:rsid w:val="00AC2D5B"/>
    <w:rsid w:val="00AC3C0A"/>
    <w:rsid w:val="00AC60FD"/>
    <w:rsid w:val="00AC7DDA"/>
    <w:rsid w:val="00AD36B2"/>
    <w:rsid w:val="00AD5C8F"/>
    <w:rsid w:val="00AE28CB"/>
    <w:rsid w:val="00AF0270"/>
    <w:rsid w:val="00AF47AE"/>
    <w:rsid w:val="00AF7CA8"/>
    <w:rsid w:val="00B027D8"/>
    <w:rsid w:val="00B05554"/>
    <w:rsid w:val="00B11A9B"/>
    <w:rsid w:val="00B14526"/>
    <w:rsid w:val="00B149DB"/>
    <w:rsid w:val="00B152D6"/>
    <w:rsid w:val="00B21E8B"/>
    <w:rsid w:val="00B22880"/>
    <w:rsid w:val="00B23ECD"/>
    <w:rsid w:val="00B24B2A"/>
    <w:rsid w:val="00B32881"/>
    <w:rsid w:val="00B32ABB"/>
    <w:rsid w:val="00B33F1A"/>
    <w:rsid w:val="00B41FD3"/>
    <w:rsid w:val="00B426D3"/>
    <w:rsid w:val="00B431DE"/>
    <w:rsid w:val="00B452C0"/>
    <w:rsid w:val="00B45878"/>
    <w:rsid w:val="00B65E48"/>
    <w:rsid w:val="00B67B47"/>
    <w:rsid w:val="00B70D03"/>
    <w:rsid w:val="00B71B63"/>
    <w:rsid w:val="00B77A5C"/>
    <w:rsid w:val="00B803E7"/>
    <w:rsid w:val="00B82405"/>
    <w:rsid w:val="00B82E14"/>
    <w:rsid w:val="00B865AF"/>
    <w:rsid w:val="00B944C9"/>
    <w:rsid w:val="00B9702C"/>
    <w:rsid w:val="00B97484"/>
    <w:rsid w:val="00BA4DDE"/>
    <w:rsid w:val="00BA6166"/>
    <w:rsid w:val="00BB0B84"/>
    <w:rsid w:val="00BB0EB7"/>
    <w:rsid w:val="00BB1DA6"/>
    <w:rsid w:val="00BB206A"/>
    <w:rsid w:val="00BB4CF6"/>
    <w:rsid w:val="00BB7F81"/>
    <w:rsid w:val="00BC1430"/>
    <w:rsid w:val="00BC655F"/>
    <w:rsid w:val="00BD00E5"/>
    <w:rsid w:val="00BD09F9"/>
    <w:rsid w:val="00BD1496"/>
    <w:rsid w:val="00BD4F06"/>
    <w:rsid w:val="00BE1E62"/>
    <w:rsid w:val="00BF4A0E"/>
    <w:rsid w:val="00BF52B2"/>
    <w:rsid w:val="00BF7052"/>
    <w:rsid w:val="00BF763A"/>
    <w:rsid w:val="00C02154"/>
    <w:rsid w:val="00C05FAB"/>
    <w:rsid w:val="00C05FFD"/>
    <w:rsid w:val="00C119EC"/>
    <w:rsid w:val="00C11BDF"/>
    <w:rsid w:val="00C12431"/>
    <w:rsid w:val="00C12DE9"/>
    <w:rsid w:val="00C13673"/>
    <w:rsid w:val="00C16DFB"/>
    <w:rsid w:val="00C17E06"/>
    <w:rsid w:val="00C20F5E"/>
    <w:rsid w:val="00C244D9"/>
    <w:rsid w:val="00C25656"/>
    <w:rsid w:val="00C30C28"/>
    <w:rsid w:val="00C3247F"/>
    <w:rsid w:val="00C33BB4"/>
    <w:rsid w:val="00C3674D"/>
    <w:rsid w:val="00C43397"/>
    <w:rsid w:val="00C43EDE"/>
    <w:rsid w:val="00C44636"/>
    <w:rsid w:val="00C472CD"/>
    <w:rsid w:val="00C51D2F"/>
    <w:rsid w:val="00C55071"/>
    <w:rsid w:val="00C5660B"/>
    <w:rsid w:val="00C57857"/>
    <w:rsid w:val="00C57C9B"/>
    <w:rsid w:val="00C60AC3"/>
    <w:rsid w:val="00C70B54"/>
    <w:rsid w:val="00C7112E"/>
    <w:rsid w:val="00C71AA0"/>
    <w:rsid w:val="00C74678"/>
    <w:rsid w:val="00C83F98"/>
    <w:rsid w:val="00C923A3"/>
    <w:rsid w:val="00C937B7"/>
    <w:rsid w:val="00C94EB1"/>
    <w:rsid w:val="00C950D2"/>
    <w:rsid w:val="00C9632A"/>
    <w:rsid w:val="00CA2A8D"/>
    <w:rsid w:val="00CA348A"/>
    <w:rsid w:val="00CA554E"/>
    <w:rsid w:val="00CA5EF8"/>
    <w:rsid w:val="00CB16C0"/>
    <w:rsid w:val="00CB2CE6"/>
    <w:rsid w:val="00CB3410"/>
    <w:rsid w:val="00CC06EF"/>
    <w:rsid w:val="00CC20B3"/>
    <w:rsid w:val="00CD4A07"/>
    <w:rsid w:val="00CE3E46"/>
    <w:rsid w:val="00CF08BB"/>
    <w:rsid w:val="00CF1E53"/>
    <w:rsid w:val="00D00E26"/>
    <w:rsid w:val="00D03395"/>
    <w:rsid w:val="00D0661A"/>
    <w:rsid w:val="00D16560"/>
    <w:rsid w:val="00D23BC9"/>
    <w:rsid w:val="00D30E68"/>
    <w:rsid w:val="00D31037"/>
    <w:rsid w:val="00D310FD"/>
    <w:rsid w:val="00D352B7"/>
    <w:rsid w:val="00D35BB7"/>
    <w:rsid w:val="00D35C45"/>
    <w:rsid w:val="00D35D0F"/>
    <w:rsid w:val="00D373F3"/>
    <w:rsid w:val="00D40561"/>
    <w:rsid w:val="00D40EBC"/>
    <w:rsid w:val="00D436D5"/>
    <w:rsid w:val="00D477DE"/>
    <w:rsid w:val="00D51FA7"/>
    <w:rsid w:val="00D52E92"/>
    <w:rsid w:val="00D57397"/>
    <w:rsid w:val="00D61389"/>
    <w:rsid w:val="00D61996"/>
    <w:rsid w:val="00D654CD"/>
    <w:rsid w:val="00D67298"/>
    <w:rsid w:val="00D678C7"/>
    <w:rsid w:val="00D714C3"/>
    <w:rsid w:val="00D71E08"/>
    <w:rsid w:val="00D76D9F"/>
    <w:rsid w:val="00D8061D"/>
    <w:rsid w:val="00D8073A"/>
    <w:rsid w:val="00D808CF"/>
    <w:rsid w:val="00D8261A"/>
    <w:rsid w:val="00D91600"/>
    <w:rsid w:val="00D91626"/>
    <w:rsid w:val="00D9309F"/>
    <w:rsid w:val="00D9415C"/>
    <w:rsid w:val="00DA2C02"/>
    <w:rsid w:val="00DA469E"/>
    <w:rsid w:val="00DA716B"/>
    <w:rsid w:val="00DB16BE"/>
    <w:rsid w:val="00DB1AB0"/>
    <w:rsid w:val="00DB3B9C"/>
    <w:rsid w:val="00DB45F8"/>
    <w:rsid w:val="00DB63BB"/>
    <w:rsid w:val="00DB6A5F"/>
    <w:rsid w:val="00DB7675"/>
    <w:rsid w:val="00DC2137"/>
    <w:rsid w:val="00DC4386"/>
    <w:rsid w:val="00DD0E1E"/>
    <w:rsid w:val="00DD1D58"/>
    <w:rsid w:val="00DD39FC"/>
    <w:rsid w:val="00DD5DD1"/>
    <w:rsid w:val="00DE521E"/>
    <w:rsid w:val="00DE6C17"/>
    <w:rsid w:val="00DF5DC9"/>
    <w:rsid w:val="00E00890"/>
    <w:rsid w:val="00E03AEA"/>
    <w:rsid w:val="00E04BD5"/>
    <w:rsid w:val="00E04EDC"/>
    <w:rsid w:val="00E13094"/>
    <w:rsid w:val="00E20589"/>
    <w:rsid w:val="00E22020"/>
    <w:rsid w:val="00E25DCD"/>
    <w:rsid w:val="00E269E1"/>
    <w:rsid w:val="00E270ED"/>
    <w:rsid w:val="00E3183B"/>
    <w:rsid w:val="00E326D4"/>
    <w:rsid w:val="00E326FF"/>
    <w:rsid w:val="00E45F13"/>
    <w:rsid w:val="00E50336"/>
    <w:rsid w:val="00E510BC"/>
    <w:rsid w:val="00E52BA4"/>
    <w:rsid w:val="00E52BF6"/>
    <w:rsid w:val="00E54A3B"/>
    <w:rsid w:val="00E604A1"/>
    <w:rsid w:val="00E61256"/>
    <w:rsid w:val="00E62EFE"/>
    <w:rsid w:val="00E73CB2"/>
    <w:rsid w:val="00E76125"/>
    <w:rsid w:val="00E839BA"/>
    <w:rsid w:val="00E8428A"/>
    <w:rsid w:val="00E97F7D"/>
    <w:rsid w:val="00EA20EC"/>
    <w:rsid w:val="00EA589A"/>
    <w:rsid w:val="00EA59B8"/>
    <w:rsid w:val="00EA5A01"/>
    <w:rsid w:val="00EB612B"/>
    <w:rsid w:val="00EC2C99"/>
    <w:rsid w:val="00EC2DF9"/>
    <w:rsid w:val="00EC3BA3"/>
    <w:rsid w:val="00ED595B"/>
    <w:rsid w:val="00ED5DFE"/>
    <w:rsid w:val="00EE2600"/>
    <w:rsid w:val="00EE6E36"/>
    <w:rsid w:val="00EF1F8F"/>
    <w:rsid w:val="00EF4CC5"/>
    <w:rsid w:val="00EF5C38"/>
    <w:rsid w:val="00F00943"/>
    <w:rsid w:val="00F016BC"/>
    <w:rsid w:val="00F0660B"/>
    <w:rsid w:val="00F07742"/>
    <w:rsid w:val="00F11A00"/>
    <w:rsid w:val="00F123AE"/>
    <w:rsid w:val="00F16C91"/>
    <w:rsid w:val="00F22E67"/>
    <w:rsid w:val="00F23F02"/>
    <w:rsid w:val="00F25225"/>
    <w:rsid w:val="00F26547"/>
    <w:rsid w:val="00F26721"/>
    <w:rsid w:val="00F32021"/>
    <w:rsid w:val="00F32B93"/>
    <w:rsid w:val="00F37497"/>
    <w:rsid w:val="00F44C3B"/>
    <w:rsid w:val="00F45CDD"/>
    <w:rsid w:val="00F5551A"/>
    <w:rsid w:val="00F56AAB"/>
    <w:rsid w:val="00F67584"/>
    <w:rsid w:val="00F6799C"/>
    <w:rsid w:val="00F73331"/>
    <w:rsid w:val="00F7503D"/>
    <w:rsid w:val="00F87174"/>
    <w:rsid w:val="00F91D37"/>
    <w:rsid w:val="00F93538"/>
    <w:rsid w:val="00F9610D"/>
    <w:rsid w:val="00FB304D"/>
    <w:rsid w:val="00FB657F"/>
    <w:rsid w:val="00FC0A7A"/>
    <w:rsid w:val="00FC5B3A"/>
    <w:rsid w:val="00FC7B94"/>
    <w:rsid w:val="00FD07D8"/>
    <w:rsid w:val="00FD3788"/>
    <w:rsid w:val="00FD44A6"/>
    <w:rsid w:val="00FD573D"/>
    <w:rsid w:val="00FD7F0A"/>
    <w:rsid w:val="00FE7D09"/>
    <w:rsid w:val="00FF01E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24D"/>
  <w15:docId w15:val="{6841B41D-5EB0-48AE-B204-7AD06C1B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3"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Standard">
    <w:name w:val="Normal"/>
    <w:qFormat/>
    <w:rsid w:val="00B027D8"/>
    <w:pPr>
      <w:spacing w:line="228" w:lineRule="auto"/>
    </w:pPr>
    <w:rPr>
      <w:sz w:val="21"/>
    </w:rPr>
  </w:style>
  <w:style w:type="paragraph" w:styleId="berschrift1">
    <w:name w:val="heading 1"/>
    <w:basedOn w:val="Standard"/>
    <w:next w:val="TextmitAbstand"/>
    <w:link w:val="berschrift1Zchn"/>
    <w:uiPriority w:val="9"/>
    <w:qFormat/>
    <w:rsid w:val="0030750D"/>
    <w:pPr>
      <w:keepNext/>
      <w:keepLines/>
      <w:spacing w:before="480" w:after="680"/>
      <w:outlineLvl w:val="0"/>
    </w:pPr>
    <w:rPr>
      <w:rFonts w:asciiTheme="majorHAnsi" w:eastAsiaTheme="majorEastAsia" w:hAnsiTheme="majorHAnsi" w:cstheme="majorBidi"/>
      <w:b/>
      <w:bCs/>
      <w:szCs w:val="28"/>
    </w:rPr>
  </w:style>
  <w:style w:type="paragraph" w:styleId="berschrift2">
    <w:name w:val="heading 2"/>
    <w:basedOn w:val="Standard"/>
    <w:next w:val="TextmitAbstand"/>
    <w:link w:val="berschrift2Zchn"/>
    <w:uiPriority w:val="9"/>
    <w:unhideWhenUsed/>
    <w:qFormat/>
    <w:rsid w:val="00FC5B3A"/>
    <w:pPr>
      <w:keepNext/>
      <w:keepLines/>
      <w:tabs>
        <w:tab w:val="left" w:pos="680"/>
      </w:tabs>
      <w:spacing w:before="480" w:after="240"/>
      <w:outlineLvl w:val="1"/>
    </w:pPr>
    <w:rPr>
      <w:rFonts w:asciiTheme="majorHAnsi" w:eastAsiaTheme="majorEastAsia" w:hAnsiTheme="majorHAnsi" w:cstheme="majorBidi"/>
      <w:b/>
      <w:bCs/>
      <w:szCs w:val="26"/>
    </w:rPr>
  </w:style>
  <w:style w:type="paragraph" w:styleId="berschrift3">
    <w:name w:val="heading 3"/>
    <w:basedOn w:val="Standard"/>
    <w:next w:val="TextmitAbstand"/>
    <w:link w:val="berschrift3Zchn"/>
    <w:uiPriority w:val="9"/>
    <w:unhideWhenUsed/>
    <w:qFormat/>
    <w:rsid w:val="00FC5B3A"/>
    <w:pPr>
      <w:keepNext/>
      <w:keepLines/>
      <w:spacing w:before="480" w:after="120"/>
      <w:outlineLvl w:val="2"/>
    </w:pPr>
    <w:rPr>
      <w:rFonts w:asciiTheme="majorHAnsi" w:eastAsiaTheme="majorEastAsia" w:hAnsiTheme="majorHAnsi" w:cstheme="majorBidi"/>
      <w:b/>
      <w:szCs w:val="24"/>
    </w:rPr>
  </w:style>
  <w:style w:type="paragraph" w:styleId="berschrift4">
    <w:name w:val="heading 4"/>
    <w:basedOn w:val="Standard"/>
    <w:next w:val="TextmitAbstand"/>
    <w:link w:val="berschrift4Zchn"/>
    <w:uiPriority w:val="9"/>
    <w:qFormat/>
    <w:rsid w:val="00FC5B3A"/>
    <w:pPr>
      <w:keepNext/>
      <w:keepLines/>
      <w:tabs>
        <w:tab w:val="left" w:pos="737"/>
      </w:tabs>
      <w:spacing w:before="480" w:after="240"/>
      <w:outlineLvl w:val="3"/>
    </w:pPr>
    <w:rPr>
      <w:rFonts w:asciiTheme="majorHAnsi" w:eastAsiaTheme="majorEastAsia" w:hAnsiTheme="majorHAnsi" w:cstheme="majorBidi"/>
      <w: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A352EC"/>
    <w:rPr>
      <w:color w:val="004687" w:themeColor="accent1"/>
      <w:u w:val="single"/>
    </w:rPr>
  </w:style>
  <w:style w:type="paragraph" w:styleId="Kopfzeile">
    <w:name w:val="header"/>
    <w:basedOn w:val="Standard"/>
    <w:link w:val="KopfzeileZchn"/>
    <w:uiPriority w:val="93"/>
    <w:semiHidden/>
    <w:rsid w:val="009141F1"/>
    <w:pPr>
      <w:tabs>
        <w:tab w:val="right" w:pos="9639"/>
      </w:tabs>
      <w:spacing w:line="240" w:lineRule="auto"/>
    </w:pPr>
    <w:rPr>
      <w:color w:val="004687" w:themeColor="accent1"/>
      <w:sz w:val="18"/>
    </w:rPr>
  </w:style>
  <w:style w:type="character" w:customStyle="1" w:styleId="KopfzeileZchn">
    <w:name w:val="Kopfzeile Zchn"/>
    <w:basedOn w:val="Absatz-Standardschriftart"/>
    <w:link w:val="Kopfzeile"/>
    <w:uiPriority w:val="93"/>
    <w:semiHidden/>
    <w:rsid w:val="00D8073A"/>
    <w:rPr>
      <w:color w:val="004687" w:themeColor="accent1"/>
      <w:sz w:val="18"/>
    </w:rPr>
  </w:style>
  <w:style w:type="paragraph" w:styleId="Fuzeile">
    <w:name w:val="footer"/>
    <w:basedOn w:val="Standard"/>
    <w:link w:val="FuzeileZchn"/>
    <w:uiPriority w:val="94"/>
    <w:semiHidden/>
    <w:rsid w:val="0003006E"/>
    <w:pPr>
      <w:spacing w:line="240" w:lineRule="auto"/>
    </w:pPr>
    <w:rPr>
      <w:color w:val="004687" w:themeColor="accent1"/>
      <w:sz w:val="18"/>
    </w:rPr>
  </w:style>
  <w:style w:type="character" w:customStyle="1" w:styleId="FuzeileZchn">
    <w:name w:val="Fußzeile Zchn"/>
    <w:basedOn w:val="Absatz-Standardschriftart"/>
    <w:link w:val="Fuzeile"/>
    <w:uiPriority w:val="94"/>
    <w:semiHidden/>
    <w:rsid w:val="002C4D2A"/>
    <w:rPr>
      <w:color w:val="004687" w:themeColor="accent1"/>
      <w:sz w:val="18"/>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0750D"/>
    <w:rPr>
      <w:rFonts w:asciiTheme="majorHAnsi" w:eastAsiaTheme="majorEastAsia" w:hAnsiTheme="majorHAnsi" w:cstheme="majorBidi"/>
      <w:b/>
      <w:bCs/>
      <w:sz w:val="21"/>
      <w:szCs w:val="28"/>
    </w:rPr>
  </w:style>
  <w:style w:type="character" w:customStyle="1" w:styleId="berschrift2Zchn">
    <w:name w:val="Überschrift 2 Zchn"/>
    <w:basedOn w:val="Absatz-Standardschriftart"/>
    <w:link w:val="berschrift2"/>
    <w:uiPriority w:val="9"/>
    <w:rsid w:val="00FC5B3A"/>
    <w:rPr>
      <w:rFonts w:asciiTheme="majorHAnsi" w:eastAsiaTheme="majorEastAsia" w:hAnsiTheme="majorHAnsi" w:cstheme="majorBidi"/>
      <w:b/>
      <w:bCs/>
      <w:sz w:val="21"/>
      <w:szCs w:val="26"/>
    </w:rPr>
  </w:style>
  <w:style w:type="paragraph" w:styleId="Titel">
    <w:name w:val="Title"/>
    <w:basedOn w:val="Standard"/>
    <w:link w:val="TitelZchn"/>
    <w:uiPriority w:val="11"/>
    <w:qFormat/>
    <w:rsid w:val="003B7D8D"/>
    <w:pPr>
      <w:spacing w:after="440" w:line="240" w:lineRule="auto"/>
      <w:contextualSpacing/>
    </w:pPr>
    <w:rPr>
      <w:rFonts w:asciiTheme="majorHAnsi" w:eastAsiaTheme="majorEastAsia" w:hAnsiTheme="majorHAnsi" w:cstheme="majorBidi"/>
      <w:color w:val="004687" w:themeColor="accent1"/>
      <w:kern w:val="28"/>
      <w:sz w:val="96"/>
      <w:szCs w:val="52"/>
    </w:rPr>
  </w:style>
  <w:style w:type="character" w:customStyle="1" w:styleId="TitelZchn">
    <w:name w:val="Titel Zchn"/>
    <w:basedOn w:val="Absatz-Standardschriftart"/>
    <w:link w:val="Titel"/>
    <w:uiPriority w:val="11"/>
    <w:rsid w:val="003B7D8D"/>
    <w:rPr>
      <w:rFonts w:asciiTheme="majorHAnsi" w:eastAsiaTheme="majorEastAsia" w:hAnsiTheme="majorHAnsi" w:cstheme="majorBidi"/>
      <w:color w:val="004687" w:themeColor="accent1"/>
      <w:kern w:val="28"/>
      <w:sz w:val="96"/>
      <w:szCs w:val="52"/>
    </w:rPr>
  </w:style>
  <w:style w:type="paragraph" w:customStyle="1" w:styleId="Brieftitel">
    <w:name w:val="Brieftitel"/>
    <w:basedOn w:val="Standard"/>
    <w:link w:val="BrieftitelZchn"/>
    <w:uiPriority w:val="14"/>
    <w:rsid w:val="002F374E"/>
    <w:pPr>
      <w:spacing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971A82"/>
    <w:rPr>
      <w:rFonts w:asciiTheme="majorHAnsi" w:hAnsiTheme="majorHAnsi"/>
      <w:b/>
      <w:sz w:val="2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4806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berschrift3Zchn">
    <w:name w:val="Überschrift 3 Zchn"/>
    <w:basedOn w:val="Absatz-Standardschriftart"/>
    <w:link w:val="berschrift3"/>
    <w:uiPriority w:val="9"/>
    <w:rsid w:val="00FC5B3A"/>
    <w:rPr>
      <w:rFonts w:asciiTheme="majorHAnsi" w:eastAsiaTheme="majorEastAsia" w:hAnsiTheme="majorHAnsi" w:cstheme="majorBidi"/>
      <w:b/>
      <w:sz w:val="21"/>
      <w:szCs w:val="24"/>
    </w:rPr>
  </w:style>
  <w:style w:type="character" w:customStyle="1" w:styleId="berschrift4Zchn">
    <w:name w:val="Überschrift 4 Zchn"/>
    <w:basedOn w:val="Absatz-Standardschriftart"/>
    <w:link w:val="berschrift4"/>
    <w:uiPriority w:val="9"/>
    <w:rsid w:val="00FC5B3A"/>
    <w:rPr>
      <w:rFonts w:asciiTheme="majorHAnsi" w:eastAsiaTheme="majorEastAsia" w:hAnsiTheme="majorHAnsi" w:cstheme="majorBidi"/>
      <w:b/>
      <w:sz w:val="21"/>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A352EC"/>
    <w:pPr>
      <w:spacing w:after="240"/>
      <w:ind w:left="0"/>
    </w:pPr>
  </w:style>
  <w:style w:type="paragraph" w:customStyle="1" w:styleId="Traktandum-Text">
    <w:name w:val="Traktandum-Text"/>
    <w:basedOn w:val="Aufzhlung1"/>
    <w:uiPriority w:val="18"/>
    <w:semiHidden/>
    <w:rsid w:val="00E269E1"/>
    <w:p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A352EC"/>
    <w:rPr>
      <w:color w:val="004687" w:themeColor="accent1"/>
      <w:u w:val="single"/>
    </w:rPr>
  </w:style>
  <w:style w:type="paragraph" w:styleId="Untertitel">
    <w:name w:val="Subtitle"/>
    <w:basedOn w:val="Standard"/>
    <w:next w:val="Standard"/>
    <w:link w:val="UntertitelZchn"/>
    <w:uiPriority w:val="12"/>
    <w:rsid w:val="00174D0B"/>
    <w:pPr>
      <w:numPr>
        <w:ilvl w:val="1"/>
      </w:numPr>
    </w:pPr>
    <w:rPr>
      <w:rFonts w:eastAsiaTheme="minorEastAsia"/>
      <w:color w:val="000000" w:themeColor="text1"/>
      <w:sz w:val="40"/>
      <w:szCs w:val="40"/>
    </w:rPr>
  </w:style>
  <w:style w:type="character" w:customStyle="1" w:styleId="UntertitelZchn">
    <w:name w:val="Untertitel Zchn"/>
    <w:basedOn w:val="Absatz-Standardschriftart"/>
    <w:link w:val="Untertitel"/>
    <w:uiPriority w:val="12"/>
    <w:rsid w:val="00174D0B"/>
    <w:rPr>
      <w:rFonts w:eastAsiaTheme="minorEastAsia"/>
      <w:color w:val="000000" w:themeColor="text1"/>
      <w:sz w:val="40"/>
      <w:szCs w:val="40"/>
    </w:rPr>
  </w:style>
  <w:style w:type="paragraph" w:styleId="Datum">
    <w:name w:val="Date"/>
    <w:basedOn w:val="Standard"/>
    <w:next w:val="Standard"/>
    <w:link w:val="DatumZchn"/>
    <w:uiPriority w:val="15"/>
    <w:semiHidden/>
    <w:rsid w:val="002F374E"/>
    <w:pPr>
      <w:spacing w:before="120" w:after="1200"/>
    </w:pPr>
  </w:style>
  <w:style w:type="character" w:customStyle="1" w:styleId="DatumZchn">
    <w:name w:val="Datum Zchn"/>
    <w:basedOn w:val="Absatz-Standardschriftart"/>
    <w:link w:val="Datum"/>
    <w:uiPriority w:val="15"/>
    <w:semiHidden/>
    <w:rsid w:val="00836EA4"/>
    <w:rPr>
      <w:sz w:val="21"/>
    </w:rPr>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AA0F3A"/>
    <w:pPr>
      <w:numPr>
        <w:ilvl w:val="1"/>
      </w:numPr>
      <w:ind w:left="738" w:hanging="369"/>
    </w:pPr>
  </w:style>
  <w:style w:type="paragraph" w:customStyle="1" w:styleId="Aufzhlung3">
    <w:name w:val="Aufzählung 3"/>
    <w:basedOn w:val="Aufzhlung1"/>
    <w:uiPriority w:val="6"/>
    <w:rsid w:val="00AA0F3A"/>
    <w:pPr>
      <w:numPr>
        <w:ilvl w:val="2"/>
      </w:numPr>
      <w:ind w:left="1106" w:hanging="369"/>
    </w:pPr>
  </w:style>
  <w:style w:type="paragraph" w:styleId="Beschriftung">
    <w:name w:val="caption"/>
    <w:basedOn w:val="Standard"/>
    <w:next w:val="Standard"/>
    <w:uiPriority w:val="35"/>
    <w:semiHidden/>
    <w:rsid w:val="00160D98"/>
    <w:pPr>
      <w:spacing w:before="120" w:after="240"/>
    </w:pPr>
    <w:rPr>
      <w:iCs/>
      <w:sz w:val="17"/>
      <w:szCs w:val="18"/>
    </w:rPr>
  </w:style>
  <w:style w:type="paragraph" w:styleId="Inhaltsverzeichnisberschrift">
    <w:name w:val="TOC Heading"/>
    <w:basedOn w:val="berschrift1"/>
    <w:next w:val="Standard"/>
    <w:uiPriority w:val="39"/>
    <w:semiHidden/>
    <w:rsid w:val="001B4989"/>
    <w:pPr>
      <w:spacing w:before="240" w:after="600"/>
      <w:outlineLvl w:val="9"/>
    </w:pPr>
    <w:rPr>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A16E78"/>
    <w:rPr>
      <w:rFonts w:ascii="Segoe UI" w:hAnsi="Segoe UI" w:cs="Segoe UI"/>
      <w:sz w:val="18"/>
      <w:szCs w:val="18"/>
    </w:rPr>
  </w:style>
  <w:style w:type="paragraph" w:customStyle="1" w:styleId="Seitenzahlen">
    <w:name w:val="Seitenzahlen"/>
    <w:basedOn w:val="Fuzeile"/>
    <w:uiPriority w:val="95"/>
    <w:semiHidden/>
    <w:rsid w:val="00E8428A"/>
    <w:pPr>
      <w:jc w:val="right"/>
    </w:pPr>
  </w:style>
  <w:style w:type="paragraph" w:customStyle="1" w:styleId="berschrift1nummeriert">
    <w:name w:val="Überschrift 1 nummeriert"/>
    <w:basedOn w:val="berschrift1"/>
    <w:next w:val="TextmitAbstand"/>
    <w:uiPriority w:val="10"/>
    <w:qFormat/>
    <w:rsid w:val="00ED595B"/>
    <w:pPr>
      <w:numPr>
        <w:numId w:val="3"/>
      </w:numPr>
      <w:spacing w:after="240"/>
    </w:pPr>
  </w:style>
  <w:style w:type="paragraph" w:customStyle="1" w:styleId="berschrift2nummeriert">
    <w:name w:val="Überschrift 2 nummeriert"/>
    <w:basedOn w:val="berschrift2"/>
    <w:next w:val="TextmitAbstand"/>
    <w:uiPriority w:val="10"/>
    <w:qFormat/>
    <w:rsid w:val="005E11F2"/>
    <w:pPr>
      <w:numPr>
        <w:ilvl w:val="1"/>
        <w:numId w:val="3"/>
      </w:numPr>
      <w:ind w:left="992"/>
    </w:pPr>
  </w:style>
  <w:style w:type="paragraph" w:customStyle="1" w:styleId="berschrift3nummeriert">
    <w:name w:val="Überschrift 3 nummeriert"/>
    <w:basedOn w:val="berschrift3"/>
    <w:next w:val="TextmitAbstand"/>
    <w:uiPriority w:val="10"/>
    <w:qFormat/>
    <w:rsid w:val="00C55071"/>
    <w:pPr>
      <w:numPr>
        <w:ilvl w:val="2"/>
        <w:numId w:val="3"/>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3"/>
      </w:numPr>
      <w:tabs>
        <w:tab w:val="left" w:pos="1134"/>
      </w:tabs>
    </w:pPr>
  </w:style>
  <w:style w:type="paragraph" w:styleId="Verzeichnis1">
    <w:name w:val="toc 1"/>
    <w:basedOn w:val="Standard"/>
    <w:next w:val="Standard"/>
    <w:autoRedefine/>
    <w:uiPriority w:val="39"/>
    <w:semiHidden/>
    <w:rsid w:val="00D23BC9"/>
    <w:pPr>
      <w:tabs>
        <w:tab w:val="right" w:pos="9639"/>
      </w:tabs>
      <w:spacing w:before="240" w:after="240"/>
      <w:ind w:left="680" w:hanging="680"/>
    </w:pPr>
    <w:rPr>
      <w:rFonts w:eastAsiaTheme="minorEastAsia"/>
      <w:b/>
      <w:bCs/>
      <w:noProof/>
      <w:color w:val="004687" w:themeColor="accent1"/>
      <w:sz w:val="22"/>
      <w:lang w:eastAsia="de-CH"/>
    </w:rPr>
  </w:style>
  <w:style w:type="paragraph" w:styleId="Verzeichnis2">
    <w:name w:val="toc 2"/>
    <w:basedOn w:val="Standard"/>
    <w:next w:val="Standard"/>
    <w:autoRedefine/>
    <w:uiPriority w:val="39"/>
    <w:semiHidden/>
    <w:rsid w:val="00D23BC9"/>
    <w:pPr>
      <w:tabs>
        <w:tab w:val="right" w:pos="9639"/>
      </w:tabs>
      <w:ind w:left="680" w:hanging="680"/>
    </w:pPr>
    <w:rPr>
      <w:color w:val="004687" w:themeColor="accent1"/>
    </w:rPr>
  </w:style>
  <w:style w:type="paragraph" w:styleId="Verzeichnis3">
    <w:name w:val="toc 3"/>
    <w:basedOn w:val="Standard"/>
    <w:next w:val="Standard"/>
    <w:autoRedefine/>
    <w:uiPriority w:val="39"/>
    <w:semiHidden/>
    <w:rsid w:val="00D23BC9"/>
    <w:pPr>
      <w:tabs>
        <w:tab w:val="right" w:pos="9639"/>
      </w:tabs>
      <w:ind w:left="680" w:hanging="680"/>
    </w:pPr>
    <w:rPr>
      <w:color w:val="004687" w:themeColor="accent1"/>
    </w:r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semiHidden/>
    <w:rsid w:val="00D808CF"/>
    <w:pPr>
      <w:tabs>
        <w:tab w:val="right" w:pos="9639"/>
      </w:tabs>
      <w:spacing w:after="120"/>
    </w:pPr>
    <w:rPr>
      <w:noProof/>
      <w:color w:val="004687" w:themeColor="accent1"/>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AA0F3A"/>
    <w:pPr>
      <w:numPr>
        <w:ilvl w:val="5"/>
        <w:numId w:val="3"/>
      </w:numPr>
      <w:spacing w:after="240"/>
      <w:contextualSpacing/>
    </w:pPr>
  </w:style>
  <w:style w:type="paragraph" w:customStyle="1" w:styleId="Nummerierung2">
    <w:name w:val="Nummerierung 2"/>
    <w:basedOn w:val="Nummerierung1"/>
    <w:uiPriority w:val="7"/>
    <w:qFormat/>
    <w:rsid w:val="00AA0F3A"/>
    <w:pPr>
      <w:numPr>
        <w:ilvl w:val="6"/>
      </w:numPr>
      <w:tabs>
        <w:tab w:val="left" w:pos="1276"/>
      </w:tabs>
      <w:ind w:left="738" w:hanging="369"/>
    </w:pPr>
  </w:style>
  <w:style w:type="character" w:styleId="Seitenzahl">
    <w:name w:val="page number"/>
    <w:basedOn w:val="Absatz-Standardschriftart"/>
    <w:uiPriority w:val="79"/>
    <w:semiHidden/>
    <w:rsid w:val="00665AA4"/>
    <w:rPr>
      <w:color w:val="004687" w:themeColor="accent1"/>
    </w:rPr>
  </w:style>
  <w:style w:type="paragraph" w:customStyle="1" w:styleId="Nummerierungabc">
    <w:name w:val="Nummerierung abc"/>
    <w:basedOn w:val="Listenabsatz"/>
    <w:uiPriority w:val="8"/>
    <w:qFormat/>
    <w:rsid w:val="00AA0F3A"/>
    <w:pPr>
      <w:numPr>
        <w:ilvl w:val="8"/>
        <w:numId w:val="3"/>
      </w:numPr>
      <w:spacing w:after="240"/>
    </w:pPr>
  </w:style>
  <w:style w:type="paragraph" w:customStyle="1" w:styleId="NummerierungParagraph">
    <w:name w:val="Nummerierung Paragraph"/>
    <w:basedOn w:val="Nummerierung2"/>
    <w:uiPriority w:val="7"/>
    <w:qFormat/>
    <w:rsid w:val="00176F08"/>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3"/>
      </w:numPr>
    </w:pPr>
  </w:style>
  <w:style w:type="paragraph" w:customStyle="1" w:styleId="Dokumentbezeichnung">
    <w:name w:val="Dokumentbezeichnung"/>
    <w:basedOn w:val="berschrift1"/>
    <w:next w:val="Standard"/>
    <w:uiPriority w:val="98"/>
    <w:semiHidden/>
    <w:rsid w:val="00283995"/>
    <w:pPr>
      <w:pageBreakBefore/>
      <w:numPr>
        <w:numId w:val="4"/>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Cs w:val="52"/>
    </w:rPr>
  </w:style>
  <w:style w:type="character" w:styleId="Platzhaltertext">
    <w:name w:val="Placeholder Text"/>
    <w:basedOn w:val="Absatz-Standardschriftart"/>
    <w:uiPriority w:val="79"/>
    <w:semiHidden/>
    <w:rsid w:val="00EA20EC"/>
    <w:rPr>
      <w:color w:val="878787" w:themeColor="text2"/>
    </w:rPr>
  </w:style>
  <w:style w:type="paragraph" w:customStyle="1" w:styleId="ErstelltdurchVorlagenbauerchfrFMH">
    <w:name w:val="Erstellt durch Vorlagenbauer.ch für FMH"/>
    <w:basedOn w:val="Standard"/>
    <w:next w:val="Standard"/>
    <w:semiHidden/>
    <w:rsid w:val="00BB0EB7"/>
    <w:pPr>
      <w:shd w:val="clear" w:color="auto" w:fill="FFFFFF" w:themeFill="background1"/>
    </w:pPr>
  </w:style>
  <w:style w:type="paragraph" w:customStyle="1" w:styleId="BeschriftungVorwort">
    <w:name w:val="Beschriftung Vorwort"/>
    <w:basedOn w:val="Beschriftung"/>
    <w:uiPriority w:val="35"/>
    <w:semiHidden/>
    <w:qFormat/>
    <w:rsid w:val="00045BC1"/>
    <w:pPr>
      <w:pBdr>
        <w:top w:val="single" w:sz="4" w:space="1" w:color="004687" w:themeColor="accent1"/>
      </w:pBdr>
    </w:pPr>
    <w:rPr>
      <w:color w:val="004687" w:themeColor="accent1"/>
      <w:sz w:val="21"/>
      <w:szCs w:val="21"/>
    </w:rPr>
  </w:style>
  <w:style w:type="paragraph" w:styleId="Zitat">
    <w:name w:val="Quote"/>
    <w:basedOn w:val="Standard"/>
    <w:next w:val="Standard"/>
    <w:link w:val="ZitatZchn"/>
    <w:uiPriority w:val="29"/>
    <w:semiHidden/>
    <w:rsid w:val="0043127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43127F"/>
    <w:rPr>
      <w:i/>
      <w:iCs/>
      <w:color w:val="404040" w:themeColor="text1" w:themeTint="BF"/>
      <w:sz w:val="21"/>
    </w:rPr>
  </w:style>
  <w:style w:type="table" w:customStyle="1" w:styleId="Formatvorlage1">
    <w:name w:val="Formatvorlage1"/>
    <w:basedOn w:val="NormaleTabelle"/>
    <w:uiPriority w:val="99"/>
    <w:rsid w:val="00FC0A7A"/>
    <w:pPr>
      <w:spacing w:line="240" w:lineRule="auto"/>
    </w:pPr>
    <w:tblPr>
      <w:tblBorders>
        <w:insideH w:val="single" w:sz="6" w:space="0" w:color="878787" w:themeColor="accent4"/>
      </w:tblBorders>
      <w:tblCellMar>
        <w:top w:w="57" w:type="dxa"/>
        <w:bottom w:w="57" w:type="dxa"/>
      </w:tblCellMar>
    </w:tblPr>
    <w:tblStylePr w:type="firstRow">
      <w:rPr>
        <w:b/>
      </w:rPr>
      <w:tblPr/>
      <w:tcPr>
        <w:tcBorders>
          <w:top w:val="nil"/>
          <w:left w:val="nil"/>
          <w:bottom w:val="single" w:sz="8" w:space="0" w:color="auto"/>
          <w:right w:val="nil"/>
          <w:insideH w:val="nil"/>
          <w:insideV w:val="nil"/>
          <w:tl2br w:val="nil"/>
          <w:tr2bl w:val="nil"/>
        </w:tcBorders>
      </w:tcPr>
    </w:tblStylePr>
  </w:style>
  <w:style w:type="paragraph" w:customStyle="1" w:styleId="TextmitAbstand">
    <w:name w:val="Text mit Abstand"/>
    <w:basedOn w:val="Standard"/>
    <w:qFormat/>
    <w:rsid w:val="00EA20EC"/>
    <w:pPr>
      <w:spacing w:after="240"/>
    </w:pPr>
  </w:style>
  <w:style w:type="character" w:styleId="NichtaufgelsteErwhnung">
    <w:name w:val="Unresolved Mention"/>
    <w:basedOn w:val="Absatz-Standardschriftart"/>
    <w:uiPriority w:val="79"/>
    <w:semiHidden/>
    <w:unhideWhenUsed/>
    <w:rsid w:val="00A352EC"/>
    <w:rPr>
      <w:color w:val="605E5C"/>
      <w:shd w:val="clear" w:color="auto" w:fill="E1DFDD"/>
    </w:rPr>
  </w:style>
  <w:style w:type="table" w:customStyle="1" w:styleId="FMH1">
    <w:name w:val="FMH 1"/>
    <w:basedOn w:val="NormaleTabelle"/>
    <w:uiPriority w:val="99"/>
    <w:rsid w:val="005E4F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paragraph" w:customStyle="1" w:styleId="Checkbox-Text">
    <w:name w:val="Checkbox-Text"/>
    <w:basedOn w:val="Standard"/>
    <w:uiPriority w:val="1"/>
    <w:qFormat/>
    <w:rsid w:val="000C3CAF"/>
    <w:pPr>
      <w:tabs>
        <w:tab w:val="left" w:pos="284"/>
      </w:tabs>
      <w:ind w:left="284" w:hanging="284"/>
    </w:pPr>
  </w:style>
  <w:style w:type="paragraph" w:customStyle="1" w:styleId="Text75Pt">
    <w:name w:val="Text 7.5 Pt"/>
    <w:basedOn w:val="Standard"/>
    <w:qFormat/>
    <w:rsid w:val="00C02154"/>
    <w:rPr>
      <w:sz w:val="15"/>
      <w:szCs w:val="15"/>
    </w:rPr>
  </w:style>
  <w:style w:type="paragraph" w:customStyle="1" w:styleId="TextmitEinzug">
    <w:name w:val="Text mit Einzug"/>
    <w:basedOn w:val="Standard"/>
    <w:qFormat/>
    <w:rsid w:val="00245BBA"/>
    <w:pPr>
      <w:ind w:left="567"/>
    </w:pPr>
  </w:style>
  <w:style w:type="table" w:customStyle="1" w:styleId="FMH11">
    <w:name w:val="FMH 11"/>
    <w:basedOn w:val="NormaleTabelle"/>
    <w:uiPriority w:val="99"/>
    <w:rsid w:val="00DB63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paragraph" w:customStyle="1" w:styleId="Textfett">
    <w:name w:val="Text fett"/>
    <w:basedOn w:val="Standard"/>
    <w:qFormat/>
    <w:rsid w:val="00971A82"/>
    <w:rPr>
      <w:b/>
    </w:rPr>
  </w:style>
  <w:style w:type="paragraph" w:customStyle="1" w:styleId="Titel20Pt">
    <w:name w:val="Titel 20 Pt."/>
    <w:basedOn w:val="Titel"/>
    <w:uiPriority w:val="11"/>
    <w:qFormat/>
    <w:rsid w:val="00F37497"/>
    <w:rPr>
      <w:sz w:val="40"/>
    </w:rPr>
  </w:style>
  <w:style w:type="paragraph" w:customStyle="1" w:styleId="Text16Pt">
    <w:name w:val="Text 16 Pt."/>
    <w:basedOn w:val="Standard"/>
    <w:qFormat/>
    <w:rsid w:val="009B5554"/>
    <w:pPr>
      <w:spacing w:before="480" w:after="68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edlex.admin.ch/eli/cc/2000/243/fr" TargetMode="External"/><Relationship Id="rId18" Type="http://schemas.openxmlformats.org/officeDocument/2006/relationships/hyperlink" Target="https://www.fedlex.admin.ch/eli/cc/1966/57_57_57/fr" TargetMode="External"/><Relationship Id="rId26" Type="http://schemas.openxmlformats.org/officeDocument/2006/relationships/hyperlink" Target="https://www.fedlex.admin.ch/eli/cc/1966/57_57_57/fr" TargetMode="External"/><Relationship Id="rId39" Type="http://schemas.openxmlformats.org/officeDocument/2006/relationships/header" Target="header1.xml"/><Relationship Id="rId21" Type="http://schemas.openxmlformats.org/officeDocument/2006/relationships/hyperlink" Target="https://www.fedlex.admin.ch/eli/cc/1966/57_57_57/fr" TargetMode="External"/><Relationship Id="rId34" Type="http://schemas.openxmlformats.org/officeDocument/2006/relationships/hyperlink" Target="https://www.fedlex.admin.ch/eli/cc/1952/1021_1046_1050/fr"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lex.admin.ch/eli/cc/27/317_321_377/fr" TargetMode="External"/><Relationship Id="rId20" Type="http://schemas.openxmlformats.org/officeDocument/2006/relationships/hyperlink" Target="https://www.fedlex.admin.ch/eli/cc/2000/244/fr" TargetMode="External"/><Relationship Id="rId29" Type="http://schemas.openxmlformats.org/officeDocument/2006/relationships/hyperlink" Target="https://mpa-schweiz.fmh.ch/fr/droit-travail/maternite.cfm"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27/317_321_377/fr" TargetMode="External"/><Relationship Id="rId24" Type="http://schemas.openxmlformats.org/officeDocument/2006/relationships/hyperlink" Target="https://www.fedlex.admin.ch/eli/cc/2000/244/fr" TargetMode="External"/><Relationship Id="rId32" Type="http://schemas.openxmlformats.org/officeDocument/2006/relationships/hyperlink" Target="https://www.fedlex.admin.ch/eli/cc/27/317_321_377/fr" TargetMode="External"/><Relationship Id="rId37" Type="http://schemas.openxmlformats.org/officeDocument/2006/relationships/hyperlink" Target="https://www.fedlex.admin.ch/eli/cc/27/317_321_377/f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ram-vd.ch/diversdocs2.asp" TargetMode="External"/><Relationship Id="rId23" Type="http://schemas.openxmlformats.org/officeDocument/2006/relationships/hyperlink" Target="https://www.fedlex.admin.ch/eli/cc/1966/57_57_57/fr" TargetMode="External"/><Relationship Id="rId28" Type="http://schemas.openxmlformats.org/officeDocument/2006/relationships/hyperlink" Target="https://www.fedlex.admin.ch/eli/cc/2000/243/fr" TargetMode="External"/><Relationship Id="rId36" Type="http://schemas.openxmlformats.org/officeDocument/2006/relationships/hyperlink" Target="https://www.fedlex.admin.ch/eli/cc/1993/2553_2553_2553/fr" TargetMode="External"/><Relationship Id="rId10" Type="http://schemas.openxmlformats.org/officeDocument/2006/relationships/endnotes" Target="endnotes.xml"/><Relationship Id="rId19" Type="http://schemas.openxmlformats.org/officeDocument/2006/relationships/hyperlink" Target="https://www.fedlex.admin.ch/eli/cc/1966/57_57_57/fr" TargetMode="External"/><Relationship Id="rId31" Type="http://schemas.openxmlformats.org/officeDocument/2006/relationships/hyperlink" Target="https://www.fedlex.admin.ch/eli/cc/27/317_321_377/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a.ch/dienstleistungen/arbeitsverhaeltnis" TargetMode="External"/><Relationship Id="rId22" Type="http://schemas.openxmlformats.org/officeDocument/2006/relationships/hyperlink" Target="https://www.fedlex.admin.ch/eli/cc/2000/243/fr" TargetMode="External"/><Relationship Id="rId27" Type="http://schemas.openxmlformats.org/officeDocument/2006/relationships/hyperlink" Target="https://www.bsv.admin.ch/bsv/fr/home/assurances-sociales/ueberblick/beitraege.html" TargetMode="External"/><Relationship Id="rId30" Type="http://schemas.openxmlformats.org/officeDocument/2006/relationships/hyperlink" Target="https://www.fedlex.admin.ch/eli/cc/54/757_781_799/fr" TargetMode="External"/><Relationship Id="rId35" Type="http://schemas.openxmlformats.org/officeDocument/2006/relationships/hyperlink" Target="https://www.fedlex.admin.ch/eli/cc/1952/1021_1046_1050/f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edlex.admin.ch/eli/cc/1966/57_57_57/fr" TargetMode="External"/><Relationship Id="rId17" Type="http://schemas.openxmlformats.org/officeDocument/2006/relationships/hyperlink" Target="https://www.fedlex.admin.ch/eli/cc/1966/57_57_57/fr" TargetMode="External"/><Relationship Id="rId25" Type="http://schemas.openxmlformats.org/officeDocument/2006/relationships/hyperlink" Target="https://www.fedlex.admin.ch/eli/cc/1966/57_57_57/fr" TargetMode="External"/><Relationship Id="rId33" Type="http://schemas.openxmlformats.org/officeDocument/2006/relationships/hyperlink" Target="https://www.fedlex.admin.ch/eli/cc/1952/1021_1046_1050/fr" TargetMode="External"/><Relationship Id="rId38" Type="http://schemas.openxmlformats.org/officeDocument/2006/relationships/hyperlink" Target="https://www.fedlex.admin.ch/eli/cc/27/317_321_377/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berger\Office-Vorlagen%20ub_Ziel%202\0000_Office-Vorlagen%20neu%20Calibri%20final%20von%20visu'l%20Tranche%201\FMH%20Leer%20DE_neues%20C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6968B92D1F439B8DCC610FF82EBAEF"/>
        <w:category>
          <w:name w:val="Allgemein"/>
          <w:gallery w:val="placeholder"/>
        </w:category>
        <w:types>
          <w:type w:val="bbPlcHdr"/>
        </w:types>
        <w:behaviors>
          <w:behavior w:val="content"/>
        </w:behaviors>
        <w:guid w:val="{977E2743-DEAC-4ABF-8F19-847150F110BE}"/>
      </w:docPartPr>
      <w:docPartBody>
        <w:p w:rsidR="00A438DA" w:rsidRDefault="00FB176A" w:rsidP="00FB176A">
          <w:pPr>
            <w:pStyle w:val="F46968B92D1F439B8DCC610FF82EBAEF"/>
          </w:pPr>
          <w:r w:rsidRPr="00B65E48">
            <w:rPr>
              <w:rStyle w:val="Platzhaltertext"/>
              <w:b/>
              <w:bCs/>
              <w:color w:val="auto"/>
              <w:sz w:val="21"/>
              <w:szCs w:val="21"/>
              <w:shd w:val="clear" w:color="auto" w:fill="4472C4" w:themeFill="accent1"/>
              <w:lang w:val="it-IT"/>
            </w:rPr>
            <w:t>Cliquez ou tapez ici pour insérer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9F"/>
    <w:rsid w:val="000268F4"/>
    <w:rsid w:val="00817A8F"/>
    <w:rsid w:val="0090769B"/>
    <w:rsid w:val="00A438DA"/>
    <w:rsid w:val="00C00FFB"/>
    <w:rsid w:val="00ED109F"/>
    <w:rsid w:val="00FB17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semiHidden/>
    <w:rsid w:val="00FB176A"/>
    <w:rPr>
      <w:color w:val="44546A" w:themeColor="text2"/>
    </w:rPr>
  </w:style>
  <w:style w:type="paragraph" w:customStyle="1" w:styleId="F46968B92D1F439B8DCC610FF82EBAEF">
    <w:name w:val="F46968B92D1F439B8DCC610FF82EBAEF"/>
    <w:rsid w:val="00FB176A"/>
    <w:pPr>
      <w:spacing w:after="440" w:line="240" w:lineRule="auto"/>
      <w:contextualSpacing/>
    </w:pPr>
    <w:rPr>
      <w:rFonts w:asciiTheme="majorHAnsi" w:eastAsiaTheme="majorEastAsia" w:hAnsiTheme="majorHAnsi" w:cstheme="majorBidi"/>
      <w:color w:val="4472C4" w:themeColor="accent1"/>
      <w:kern w:val="28"/>
      <w:sz w:val="40"/>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FMH">
      <a:dk1>
        <a:sysClr val="windowText" lastClr="000000"/>
      </a:dk1>
      <a:lt1>
        <a:sysClr val="window" lastClr="FFFFFF"/>
      </a:lt1>
      <a:dk2>
        <a:srgbClr val="878787"/>
      </a:dk2>
      <a:lt2>
        <a:srgbClr val="E3E9EC"/>
      </a:lt2>
      <a:accent1>
        <a:srgbClr val="004687"/>
      </a:accent1>
      <a:accent2>
        <a:srgbClr val="B6A56C"/>
      </a:accent2>
      <a:accent3>
        <a:srgbClr val="F0EDE2"/>
      </a:accent3>
      <a:accent4>
        <a:srgbClr val="878787"/>
      </a:accent4>
      <a:accent5>
        <a:srgbClr val="E3E9EC"/>
      </a:accent5>
      <a:accent6>
        <a:srgbClr val="DD8475"/>
      </a:accent6>
      <a:hlink>
        <a:srgbClr val="000000"/>
      </a:hlink>
      <a:folHlink>
        <a:srgbClr val="000000"/>
      </a:folHlink>
    </a:clrScheme>
    <a:fontScheme name="FMH">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1" ma:contentTypeDescription="Ein neues Dokument erstellen." ma:contentTypeScope="" ma:versionID="c1c5daacc5f11f71f165ca53949573d1">
  <xsd:schema xmlns:xsd="http://www.w3.org/2001/XMLSchema" xmlns:xs="http://www.w3.org/2001/XMLSchema" xmlns:p="http://schemas.microsoft.com/office/2006/metadata/properties" xmlns:ns2="c9077d15-72ed-4fec-bcfe-3472729e9195" targetNamespace="http://schemas.microsoft.com/office/2006/metadata/properties" ma:root="true" ma:fieldsID="21fde61944c682fd238978b96a8d7f8b"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BEC13-6662-4B92-ACA0-76C2D741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FMH Leer DE_neues CD.dotx</Template>
  <TotalTime>0</TotalTime>
  <Pages>5</Pages>
  <Words>2468</Words>
  <Characters>15554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Berger Ulrike</dc:creator>
  <cp:keywords/>
  <cp:lastModifiedBy>Lerch Nina</cp:lastModifiedBy>
  <cp:revision>46</cp:revision>
  <cp:lastPrinted>2022-06-23T10:17:00Z</cp:lastPrinted>
  <dcterms:created xsi:type="dcterms:W3CDTF">2022-07-12T14:05:00Z</dcterms:created>
  <dcterms:modified xsi:type="dcterms:W3CDTF">2022-07-12T16:11:00Z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